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1057" w:type="dxa"/>
        <w:tblInd w:w="-459" w:type="dxa"/>
        <w:tblLayout w:type="autofit"/>
        <w:tblCellMar>
          <w:top w:w="0" w:type="dxa"/>
          <w:left w:w="108" w:type="dxa"/>
          <w:bottom w:w="0" w:type="dxa"/>
          <w:right w:w="108" w:type="dxa"/>
        </w:tblCellMar>
      </w:tblPr>
      <w:tblGrid>
        <w:gridCol w:w="3402"/>
        <w:gridCol w:w="4111"/>
        <w:gridCol w:w="3544"/>
      </w:tblGrid>
      <w:tr w14:paraId="42CEFDD3">
        <w:tblPrEx>
          <w:tblCellMar>
            <w:top w:w="0" w:type="dxa"/>
            <w:left w:w="108" w:type="dxa"/>
            <w:bottom w:w="0" w:type="dxa"/>
            <w:right w:w="108" w:type="dxa"/>
          </w:tblCellMar>
        </w:tblPrEx>
        <w:tc>
          <w:tcPr>
            <w:tcW w:w="3402" w:type="dxa"/>
          </w:tcPr>
          <w:p w14:paraId="5163A634">
            <w:pPr>
              <w:spacing w:line="276" w:lineRule="auto"/>
              <w:rPr>
                <w:sz w:val="24"/>
                <w:szCs w:val="24"/>
              </w:rPr>
            </w:pPr>
            <w:r>
              <w:rPr>
                <w:sz w:val="24"/>
                <w:szCs w:val="24"/>
              </w:rPr>
              <w:t xml:space="preserve">     УТВЕРЖДАЮ</w:t>
            </w:r>
          </w:p>
          <w:p w14:paraId="5D555346">
            <w:pPr>
              <w:spacing w:line="276" w:lineRule="auto"/>
              <w:rPr>
                <w:sz w:val="24"/>
                <w:szCs w:val="24"/>
              </w:rPr>
            </w:pPr>
            <w:r>
              <w:rPr>
                <w:sz w:val="24"/>
                <w:szCs w:val="24"/>
              </w:rPr>
              <w:t xml:space="preserve">     Исполнительный</w:t>
            </w:r>
          </w:p>
          <w:p w14:paraId="40EA355B">
            <w:pPr>
              <w:spacing w:line="276" w:lineRule="auto"/>
              <w:rPr>
                <w:sz w:val="24"/>
                <w:szCs w:val="24"/>
              </w:rPr>
            </w:pPr>
            <w:r>
              <w:rPr>
                <w:sz w:val="24"/>
                <w:szCs w:val="24"/>
              </w:rPr>
              <w:t xml:space="preserve">     директор</w:t>
            </w:r>
          </w:p>
          <w:p w14:paraId="78901DC9">
            <w:pPr>
              <w:spacing w:line="276" w:lineRule="auto"/>
              <w:rPr>
                <w:sz w:val="24"/>
                <w:szCs w:val="24"/>
              </w:rPr>
            </w:pPr>
            <w:r>
              <w:rPr>
                <w:sz w:val="24"/>
                <w:szCs w:val="24"/>
              </w:rPr>
              <w:t xml:space="preserve">     Федерации шахмат</w:t>
            </w:r>
          </w:p>
          <w:p w14:paraId="47A2565A">
            <w:pPr>
              <w:spacing w:line="276" w:lineRule="auto"/>
              <w:rPr>
                <w:sz w:val="24"/>
                <w:szCs w:val="24"/>
              </w:rPr>
            </w:pPr>
            <w:r>
              <w:rPr>
                <w:sz w:val="24"/>
                <w:szCs w:val="24"/>
              </w:rPr>
              <w:t xml:space="preserve">     Республики Татарстан</w:t>
            </w:r>
          </w:p>
          <w:p w14:paraId="0947253B">
            <w:pPr>
              <w:spacing w:line="276" w:lineRule="auto"/>
              <w:rPr>
                <w:sz w:val="24"/>
                <w:szCs w:val="24"/>
              </w:rPr>
            </w:pPr>
          </w:p>
          <w:p w14:paraId="42DF956F">
            <w:pPr>
              <w:spacing w:line="276" w:lineRule="auto"/>
              <w:rPr>
                <w:sz w:val="24"/>
                <w:szCs w:val="24"/>
              </w:rPr>
            </w:pPr>
          </w:p>
          <w:p w14:paraId="594F1B67">
            <w:pPr>
              <w:spacing w:line="276" w:lineRule="auto"/>
              <w:rPr>
                <w:sz w:val="24"/>
                <w:szCs w:val="24"/>
              </w:rPr>
            </w:pPr>
            <w:r>
              <w:rPr>
                <w:sz w:val="24"/>
                <w:szCs w:val="24"/>
              </w:rPr>
              <w:t xml:space="preserve">     ___________ИН.Чибикова</w:t>
            </w:r>
          </w:p>
          <w:p w14:paraId="4A889D23">
            <w:pPr>
              <w:spacing w:line="276" w:lineRule="auto"/>
              <w:rPr>
                <w:sz w:val="24"/>
                <w:szCs w:val="24"/>
              </w:rPr>
            </w:pPr>
            <w:r>
              <w:rPr>
                <w:sz w:val="24"/>
                <w:szCs w:val="24"/>
              </w:rPr>
              <w:t xml:space="preserve">     «____»___________2026г.</w:t>
            </w:r>
          </w:p>
        </w:tc>
        <w:tc>
          <w:tcPr>
            <w:tcW w:w="4111" w:type="dxa"/>
          </w:tcPr>
          <w:p w14:paraId="6E5709D8">
            <w:pPr>
              <w:spacing w:line="276" w:lineRule="auto"/>
              <w:rPr>
                <w:sz w:val="24"/>
                <w:szCs w:val="24"/>
              </w:rPr>
            </w:pPr>
            <w:r>
              <w:rPr>
                <w:sz w:val="24"/>
                <w:szCs w:val="24"/>
              </w:rPr>
              <w:t xml:space="preserve">    УТВЕРЖДАЮ</w:t>
            </w:r>
          </w:p>
          <w:p w14:paraId="348C69A6">
            <w:pPr>
              <w:spacing w:line="276" w:lineRule="auto"/>
              <w:rPr>
                <w:sz w:val="24"/>
                <w:szCs w:val="24"/>
              </w:rPr>
            </w:pPr>
            <w:r>
              <w:rPr>
                <w:sz w:val="24"/>
                <w:szCs w:val="24"/>
              </w:rPr>
              <w:t xml:space="preserve">    Первый заместитель</w:t>
            </w:r>
          </w:p>
          <w:p w14:paraId="5A80B994">
            <w:pPr>
              <w:spacing w:line="276" w:lineRule="auto"/>
              <w:rPr>
                <w:sz w:val="24"/>
                <w:szCs w:val="24"/>
              </w:rPr>
            </w:pPr>
            <w:r>
              <w:rPr>
                <w:sz w:val="24"/>
                <w:szCs w:val="24"/>
              </w:rPr>
              <w:t xml:space="preserve">    Министра спорта</w:t>
            </w:r>
          </w:p>
          <w:p w14:paraId="3F1874F4">
            <w:pPr>
              <w:spacing w:line="276" w:lineRule="auto"/>
              <w:rPr>
                <w:sz w:val="24"/>
                <w:szCs w:val="24"/>
              </w:rPr>
            </w:pPr>
            <w:r>
              <w:rPr>
                <w:sz w:val="24"/>
                <w:szCs w:val="24"/>
              </w:rPr>
              <w:t xml:space="preserve">    Республики Татарстан</w:t>
            </w:r>
          </w:p>
          <w:p w14:paraId="450448B1">
            <w:pPr>
              <w:spacing w:line="276" w:lineRule="auto"/>
              <w:rPr>
                <w:sz w:val="24"/>
                <w:szCs w:val="24"/>
              </w:rPr>
            </w:pPr>
          </w:p>
          <w:p w14:paraId="0B05E149">
            <w:pPr>
              <w:spacing w:line="276" w:lineRule="auto"/>
              <w:rPr>
                <w:sz w:val="24"/>
                <w:szCs w:val="24"/>
              </w:rPr>
            </w:pPr>
          </w:p>
          <w:p w14:paraId="6DB45CFB">
            <w:pPr>
              <w:spacing w:line="276" w:lineRule="auto"/>
              <w:rPr>
                <w:sz w:val="24"/>
                <w:szCs w:val="24"/>
              </w:rPr>
            </w:pPr>
          </w:p>
          <w:p w14:paraId="4FAC7693">
            <w:pPr>
              <w:spacing w:line="276" w:lineRule="auto"/>
              <w:rPr>
                <w:sz w:val="24"/>
                <w:szCs w:val="24"/>
              </w:rPr>
            </w:pPr>
            <w:r>
              <w:rPr>
                <w:sz w:val="24"/>
                <w:szCs w:val="24"/>
              </w:rPr>
              <w:t>______________Х.Х.Шайхутдинов</w:t>
            </w:r>
          </w:p>
          <w:p w14:paraId="3F3DEA81">
            <w:pPr>
              <w:spacing w:line="276" w:lineRule="auto"/>
              <w:rPr>
                <w:sz w:val="24"/>
                <w:szCs w:val="24"/>
              </w:rPr>
            </w:pPr>
            <w:r>
              <w:rPr>
                <w:sz w:val="24"/>
                <w:szCs w:val="24"/>
              </w:rPr>
              <w:t xml:space="preserve">    «_____»_________ _____2026г.</w:t>
            </w:r>
          </w:p>
        </w:tc>
        <w:tc>
          <w:tcPr>
            <w:tcW w:w="3544" w:type="dxa"/>
          </w:tcPr>
          <w:p w14:paraId="16FC2FC7">
            <w:pPr>
              <w:spacing w:line="276" w:lineRule="auto"/>
              <w:rPr>
                <w:sz w:val="24"/>
                <w:szCs w:val="24"/>
              </w:rPr>
            </w:pPr>
            <w:r>
              <w:rPr>
                <w:sz w:val="24"/>
                <w:szCs w:val="24"/>
              </w:rPr>
              <w:t>СОГЛАСОВАНО</w:t>
            </w:r>
          </w:p>
          <w:p w14:paraId="3F3DEAB7">
            <w:pPr>
              <w:spacing w:line="276" w:lineRule="auto"/>
              <w:rPr>
                <w:sz w:val="24"/>
                <w:szCs w:val="24"/>
              </w:rPr>
            </w:pPr>
            <w:r>
              <w:rPr>
                <w:sz w:val="24"/>
                <w:szCs w:val="24"/>
              </w:rPr>
              <w:t>Директор</w:t>
            </w:r>
          </w:p>
          <w:p w14:paraId="47E35CA9">
            <w:pPr>
              <w:spacing w:line="276" w:lineRule="auto"/>
              <w:rPr>
                <w:sz w:val="24"/>
                <w:szCs w:val="24"/>
              </w:rPr>
            </w:pPr>
            <w:r>
              <w:rPr>
                <w:sz w:val="24"/>
                <w:szCs w:val="24"/>
              </w:rPr>
              <w:t xml:space="preserve">ГАУ ДО «РСШОР  по шахматам, шашкам, го </w:t>
            </w:r>
          </w:p>
          <w:p w14:paraId="494F2180">
            <w:pPr>
              <w:spacing w:line="276" w:lineRule="auto"/>
              <w:rPr>
                <w:sz w:val="24"/>
                <w:szCs w:val="24"/>
              </w:rPr>
            </w:pPr>
            <w:r>
              <w:rPr>
                <w:sz w:val="24"/>
                <w:szCs w:val="24"/>
              </w:rPr>
              <w:t>им. Р.Г.Нежметдинова»</w:t>
            </w:r>
          </w:p>
          <w:p w14:paraId="0C806765">
            <w:pPr>
              <w:spacing w:line="276" w:lineRule="auto"/>
              <w:rPr>
                <w:sz w:val="24"/>
                <w:szCs w:val="24"/>
              </w:rPr>
            </w:pPr>
          </w:p>
          <w:p w14:paraId="2AE35D48">
            <w:pPr>
              <w:spacing w:line="276" w:lineRule="auto"/>
              <w:rPr>
                <w:sz w:val="24"/>
                <w:szCs w:val="24"/>
              </w:rPr>
            </w:pPr>
          </w:p>
          <w:p w14:paraId="65E0E8E5">
            <w:pPr>
              <w:spacing w:line="276" w:lineRule="auto"/>
              <w:rPr>
                <w:sz w:val="24"/>
                <w:szCs w:val="24"/>
              </w:rPr>
            </w:pPr>
            <w:r>
              <w:rPr>
                <w:sz w:val="24"/>
                <w:szCs w:val="24"/>
              </w:rPr>
              <w:t>____________Р.М.Гарифуллин</w:t>
            </w:r>
          </w:p>
          <w:p w14:paraId="5F2D6647">
            <w:pPr>
              <w:spacing w:line="276" w:lineRule="auto"/>
              <w:rPr>
                <w:sz w:val="24"/>
                <w:szCs w:val="24"/>
              </w:rPr>
            </w:pPr>
            <w:r>
              <w:rPr>
                <w:sz w:val="24"/>
                <w:szCs w:val="24"/>
              </w:rPr>
              <w:t>«____»____________2026г.</w:t>
            </w:r>
          </w:p>
        </w:tc>
      </w:tr>
    </w:tbl>
    <w:p w14:paraId="5C384F55">
      <w:pPr>
        <w:shd w:val="clear" w:color="auto" w:fill="FFFFFF"/>
        <w:ind w:left="-1134"/>
        <w:rPr>
          <w:spacing w:val="-2"/>
          <w:w w:val="122"/>
          <w:sz w:val="24"/>
          <w:szCs w:val="24"/>
          <w:lang w:val="en-US"/>
        </w:rPr>
      </w:pPr>
    </w:p>
    <w:p w14:paraId="4B50DDEF">
      <w:pPr>
        <w:rPr>
          <w:color w:val="C00000"/>
        </w:rPr>
      </w:pPr>
    </w:p>
    <w:p w14:paraId="22AD3FB9">
      <w:pPr>
        <w:rPr>
          <w:color w:val="C00000"/>
        </w:rPr>
      </w:pPr>
    </w:p>
    <w:p w14:paraId="460524A1">
      <w:pPr>
        <w:rPr>
          <w:color w:val="C00000"/>
        </w:rPr>
      </w:pPr>
    </w:p>
    <w:p w14:paraId="207112F0">
      <w:pPr>
        <w:jc w:val="center"/>
        <w:rPr>
          <w:b/>
          <w:sz w:val="28"/>
          <w:szCs w:val="28"/>
        </w:rPr>
      </w:pPr>
    </w:p>
    <w:p w14:paraId="4700C37D">
      <w:pPr>
        <w:jc w:val="center"/>
        <w:rPr>
          <w:b/>
          <w:sz w:val="28"/>
          <w:szCs w:val="28"/>
        </w:rPr>
      </w:pPr>
      <w:r>
        <w:rPr>
          <w:b/>
          <w:sz w:val="28"/>
          <w:szCs w:val="28"/>
        </w:rPr>
        <w:t>ПОЛОЖЕНИЕ</w:t>
      </w:r>
    </w:p>
    <w:p w14:paraId="7E3C60AF">
      <w:pPr>
        <w:jc w:val="center"/>
        <w:rPr>
          <w:sz w:val="28"/>
          <w:szCs w:val="28"/>
        </w:rPr>
      </w:pPr>
      <w:r>
        <w:rPr>
          <w:sz w:val="28"/>
          <w:szCs w:val="28"/>
        </w:rPr>
        <w:t>о проведении личных чемпионатов Республики Татарстан 2026 г. по шахматам</w:t>
      </w:r>
    </w:p>
    <w:p w14:paraId="73349B51">
      <w:pPr>
        <w:jc w:val="center"/>
        <w:rPr>
          <w:sz w:val="28"/>
          <w:szCs w:val="28"/>
        </w:rPr>
      </w:pPr>
      <w:r>
        <w:rPr>
          <w:sz w:val="28"/>
          <w:szCs w:val="28"/>
        </w:rPr>
        <w:t>среди мужчин и женщин (СМ ЕКП РТ № 1491-2-1626)</w:t>
      </w:r>
    </w:p>
    <w:p w14:paraId="5BEA963C">
      <w:pPr>
        <w:ind w:firstLine="567"/>
        <w:jc w:val="center"/>
        <w:rPr>
          <w:sz w:val="28"/>
          <w:szCs w:val="28"/>
        </w:rPr>
      </w:pPr>
    </w:p>
    <w:p w14:paraId="366A8C32">
      <w:pPr>
        <w:pStyle w:val="11"/>
        <w:ind w:left="567"/>
        <w:jc w:val="center"/>
        <w:rPr>
          <w:b/>
          <w:sz w:val="28"/>
          <w:szCs w:val="28"/>
        </w:rPr>
      </w:pPr>
      <w:r>
        <w:rPr>
          <w:b/>
          <w:sz w:val="28"/>
          <w:szCs w:val="28"/>
        </w:rPr>
        <w:t>1.ЦЕЛИ И ЗАДАЧИ</w:t>
      </w:r>
    </w:p>
    <w:p w14:paraId="554C9501">
      <w:pPr>
        <w:pStyle w:val="11"/>
        <w:ind w:left="567"/>
        <w:jc w:val="center"/>
        <w:rPr>
          <w:b/>
          <w:sz w:val="28"/>
          <w:szCs w:val="28"/>
        </w:rPr>
      </w:pPr>
    </w:p>
    <w:p w14:paraId="33BBE9BC">
      <w:pPr>
        <w:shd w:val="clear" w:color="auto" w:fill="FFFFFF"/>
        <w:spacing w:line="293" w:lineRule="exact"/>
        <w:ind w:left="24" w:firstLine="567"/>
        <w:rPr>
          <w:sz w:val="28"/>
          <w:szCs w:val="28"/>
        </w:rPr>
      </w:pPr>
      <w:r>
        <w:rPr>
          <w:sz w:val="28"/>
          <w:szCs w:val="28"/>
        </w:rPr>
        <w:t>Соревнования проводятся в целях:</w:t>
      </w:r>
    </w:p>
    <w:p w14:paraId="4D77523D">
      <w:pPr>
        <w:numPr>
          <w:ilvl w:val="0"/>
          <w:numId w:val="1"/>
        </w:numPr>
        <w:shd w:val="clear" w:color="auto" w:fill="FFFFFF"/>
        <w:tabs>
          <w:tab w:val="left" w:pos="365"/>
        </w:tabs>
        <w:spacing w:line="293" w:lineRule="exact"/>
        <w:ind w:left="29" w:firstLine="567"/>
        <w:rPr>
          <w:sz w:val="28"/>
          <w:szCs w:val="28"/>
        </w:rPr>
      </w:pPr>
      <w:r>
        <w:rPr>
          <w:sz w:val="28"/>
          <w:szCs w:val="28"/>
        </w:rPr>
        <w:t>повышения уровня спортивного мастерства участников;</w:t>
      </w:r>
    </w:p>
    <w:p w14:paraId="58833EE7">
      <w:pPr>
        <w:numPr>
          <w:ilvl w:val="0"/>
          <w:numId w:val="1"/>
        </w:numPr>
        <w:shd w:val="clear" w:color="auto" w:fill="FFFFFF"/>
        <w:tabs>
          <w:tab w:val="left" w:pos="365"/>
        </w:tabs>
        <w:spacing w:line="293" w:lineRule="exact"/>
        <w:ind w:left="29" w:firstLine="567"/>
        <w:rPr>
          <w:sz w:val="28"/>
          <w:szCs w:val="28"/>
        </w:rPr>
      </w:pPr>
      <w:r>
        <w:rPr>
          <w:sz w:val="28"/>
          <w:szCs w:val="28"/>
        </w:rPr>
        <w:t>популяризации шахмат в Республике Татарстан;</w:t>
      </w:r>
    </w:p>
    <w:p w14:paraId="4E159C54">
      <w:pPr>
        <w:numPr>
          <w:ilvl w:val="0"/>
          <w:numId w:val="1"/>
        </w:numPr>
        <w:shd w:val="clear" w:color="auto" w:fill="FFFFFF"/>
        <w:tabs>
          <w:tab w:val="left" w:pos="365"/>
        </w:tabs>
        <w:spacing w:line="293" w:lineRule="exact"/>
        <w:ind w:left="29" w:firstLine="567"/>
        <w:rPr>
          <w:sz w:val="28"/>
          <w:szCs w:val="28"/>
        </w:rPr>
      </w:pPr>
      <w:r>
        <w:rPr>
          <w:sz w:val="28"/>
          <w:szCs w:val="28"/>
        </w:rPr>
        <w:t>определения сильнейших спортсменов Республики Татарстан</w:t>
      </w:r>
    </w:p>
    <w:p w14:paraId="064E23ED">
      <w:pPr>
        <w:numPr>
          <w:ilvl w:val="0"/>
          <w:numId w:val="1"/>
        </w:numPr>
        <w:shd w:val="clear" w:color="auto" w:fill="FFFFFF"/>
        <w:tabs>
          <w:tab w:val="left" w:pos="365"/>
        </w:tabs>
        <w:spacing w:line="293" w:lineRule="exact"/>
        <w:ind w:left="29" w:firstLine="567"/>
        <w:rPr>
          <w:sz w:val="28"/>
          <w:szCs w:val="28"/>
        </w:rPr>
      </w:pPr>
      <w:r>
        <w:rPr>
          <w:sz w:val="28"/>
          <w:szCs w:val="28"/>
        </w:rPr>
        <w:t>формирования сборных команд Республики Татарстан</w:t>
      </w:r>
    </w:p>
    <w:p w14:paraId="51781E64">
      <w:pPr>
        <w:shd w:val="clear" w:color="auto" w:fill="FFFFFF"/>
        <w:tabs>
          <w:tab w:val="left" w:pos="365"/>
        </w:tabs>
        <w:spacing w:line="293" w:lineRule="exact"/>
        <w:ind w:left="29"/>
        <w:rPr>
          <w:sz w:val="28"/>
          <w:szCs w:val="28"/>
        </w:rPr>
      </w:pPr>
    </w:p>
    <w:p w14:paraId="6AF58F0E">
      <w:pPr>
        <w:pStyle w:val="11"/>
        <w:shd w:val="clear" w:color="auto" w:fill="FFFFFF"/>
        <w:tabs>
          <w:tab w:val="left" w:pos="365"/>
        </w:tabs>
        <w:spacing w:line="293" w:lineRule="exact"/>
        <w:ind w:left="567"/>
        <w:jc w:val="center"/>
        <w:rPr>
          <w:b/>
          <w:sz w:val="28"/>
          <w:szCs w:val="28"/>
        </w:rPr>
      </w:pPr>
      <w:r>
        <w:rPr>
          <w:b/>
          <w:sz w:val="28"/>
          <w:szCs w:val="28"/>
        </w:rPr>
        <w:t>2.ВРЕМЯ И МЕСТО ПРОВЕДЕНИЯ</w:t>
      </w:r>
    </w:p>
    <w:p w14:paraId="66A32F33">
      <w:pPr>
        <w:shd w:val="clear" w:color="auto" w:fill="FFFFFF"/>
        <w:spacing w:before="254"/>
        <w:ind w:right="-1" w:firstLine="567"/>
        <w:contextualSpacing/>
        <w:jc w:val="both"/>
        <w:rPr>
          <w:sz w:val="28"/>
          <w:szCs w:val="28"/>
        </w:rPr>
      </w:pPr>
      <w:r>
        <w:rPr>
          <w:sz w:val="28"/>
          <w:szCs w:val="28"/>
        </w:rPr>
        <w:t xml:space="preserve">Соревнования проводятся с 4 (день приезда) по 12декабря (день отъезда) 2026 г. в помещении РСШОР им. Р.Г.Нежметдинова (420012, г. Казань, ул. Бутлерова, д.7). </w:t>
      </w:r>
    </w:p>
    <w:p w14:paraId="094D9FE9">
      <w:pPr>
        <w:shd w:val="clear" w:color="auto" w:fill="FFFFFF"/>
        <w:spacing w:before="5"/>
        <w:ind w:firstLine="567"/>
        <w:contextualSpacing/>
        <w:jc w:val="both"/>
        <w:rPr>
          <w:rStyle w:val="8"/>
          <w:sz w:val="28"/>
          <w:szCs w:val="28"/>
          <w:u w:val="none"/>
        </w:rPr>
      </w:pPr>
      <w:r>
        <w:rPr>
          <w:b/>
          <w:bCs/>
          <w:sz w:val="28"/>
          <w:szCs w:val="28"/>
        </w:rPr>
        <w:t xml:space="preserve">Регистрация участников: </w:t>
      </w:r>
      <w:r>
        <w:rPr>
          <w:bCs/>
          <w:sz w:val="28"/>
          <w:szCs w:val="28"/>
        </w:rPr>
        <w:t>до 1</w:t>
      </w:r>
      <w:r>
        <w:rPr>
          <w:sz w:val="28"/>
          <w:szCs w:val="28"/>
        </w:rPr>
        <w:t xml:space="preserve">декабря </w:t>
      </w:r>
      <w:r>
        <w:rPr>
          <w:bCs/>
          <w:sz w:val="28"/>
          <w:szCs w:val="28"/>
        </w:rPr>
        <w:t xml:space="preserve">в оф.47 ФШ РТ или по электронной почте </w:t>
      </w:r>
      <w:r>
        <w:fldChar w:fldCharType="begin"/>
      </w:r>
      <w:r>
        <w:instrText xml:space="preserve"> HYPERLINK "mailto:tat-chess@mail.ru" </w:instrText>
      </w:r>
      <w:r>
        <w:fldChar w:fldCharType="separate"/>
      </w:r>
      <w:r>
        <w:rPr>
          <w:rStyle w:val="8"/>
          <w:sz w:val="28"/>
          <w:szCs w:val="28"/>
        </w:rPr>
        <w:t>tat-chess@mail.ru</w:t>
      </w:r>
      <w:r>
        <w:rPr>
          <w:rStyle w:val="8"/>
          <w:sz w:val="28"/>
          <w:szCs w:val="28"/>
        </w:rPr>
        <w:fldChar w:fldCharType="end"/>
      </w:r>
    </w:p>
    <w:p w14:paraId="7C9B2898">
      <w:pPr>
        <w:shd w:val="clear" w:color="auto" w:fill="FFFFFF"/>
        <w:spacing w:before="5"/>
        <w:ind w:firstLine="567"/>
        <w:contextualSpacing/>
        <w:jc w:val="both"/>
        <w:rPr>
          <w:bCs/>
          <w:sz w:val="28"/>
          <w:szCs w:val="28"/>
        </w:rPr>
      </w:pPr>
      <w:r>
        <w:rPr>
          <w:bCs/>
          <w:sz w:val="28"/>
          <w:szCs w:val="28"/>
        </w:rPr>
        <w:t>Участники, не прошедшие регистрацию в указанный срок, к игре в 1 туре не допускаются, к участию в спортивном соревновании могут быть допущены решением главного судьи спортивного соревнования со второго тура, но не позднее третьего тура. При этом такой допуск является правом, но не обязанностью главного судьи спортивного соревнования.</w:t>
      </w:r>
    </w:p>
    <w:p w14:paraId="6C7350B1">
      <w:pPr>
        <w:shd w:val="clear" w:color="auto" w:fill="FFFFFF"/>
        <w:spacing w:before="5"/>
        <w:ind w:firstLine="567"/>
        <w:contextualSpacing/>
        <w:jc w:val="both"/>
        <w:rPr>
          <w:bCs/>
          <w:sz w:val="28"/>
          <w:szCs w:val="28"/>
        </w:rPr>
      </w:pPr>
      <w:r>
        <w:rPr>
          <w:bCs/>
          <w:sz w:val="28"/>
          <w:szCs w:val="28"/>
        </w:rPr>
        <w:t xml:space="preserve">Зарегистрированным участником считается спортсмен, заполнивший анкету (бланк анкеты размещен на сайте </w:t>
      </w:r>
      <w:r>
        <w:fldChar w:fldCharType="begin"/>
      </w:r>
      <w:r>
        <w:instrText xml:space="preserve"> HYPERLINK "http://www.tat-chess.ru" </w:instrText>
      </w:r>
      <w:r>
        <w:fldChar w:fldCharType="separate"/>
      </w:r>
      <w:r>
        <w:rPr>
          <w:rStyle w:val="8"/>
          <w:sz w:val="28"/>
          <w:szCs w:val="28"/>
        </w:rPr>
        <w:t>www.tat-chess.ru</w:t>
      </w:r>
      <w:r>
        <w:rPr>
          <w:rStyle w:val="8"/>
          <w:sz w:val="28"/>
          <w:szCs w:val="28"/>
        </w:rPr>
        <w:fldChar w:fldCharType="end"/>
      </w:r>
      <w:r>
        <w:rPr>
          <w:bCs/>
          <w:sz w:val="28"/>
          <w:szCs w:val="28"/>
        </w:rPr>
        <w:t>) и уплативший вступительный взнос в соответствии с данным положением о соревновании.</w:t>
      </w:r>
    </w:p>
    <w:p w14:paraId="22CB347E">
      <w:pPr>
        <w:shd w:val="clear" w:color="auto" w:fill="FFFFFF"/>
        <w:spacing w:before="5"/>
        <w:ind w:firstLine="567"/>
        <w:contextualSpacing/>
        <w:jc w:val="both"/>
        <w:rPr>
          <w:bCs/>
          <w:sz w:val="28"/>
          <w:szCs w:val="28"/>
        </w:rPr>
      </w:pPr>
      <w:r>
        <w:rPr>
          <w:bCs/>
          <w:sz w:val="28"/>
          <w:szCs w:val="28"/>
        </w:rPr>
        <w:t>Все участники должны предоставить справку о состоянии здоровья и допуске врача к спортивному соревнованию.</w:t>
      </w:r>
    </w:p>
    <w:p w14:paraId="139A433B">
      <w:pPr>
        <w:shd w:val="clear" w:color="auto" w:fill="FFFFFF"/>
        <w:contextualSpacing/>
        <w:jc w:val="both"/>
        <w:rPr>
          <w:sz w:val="28"/>
          <w:szCs w:val="28"/>
        </w:rPr>
      </w:pPr>
      <w:r>
        <w:rPr>
          <w:sz w:val="28"/>
          <w:szCs w:val="28"/>
        </w:rPr>
        <w:t xml:space="preserve">        Окрытие и жеребьевка соревнований 5 декабря в 16.00</w:t>
      </w:r>
    </w:p>
    <w:p w14:paraId="1393D4AE">
      <w:pPr>
        <w:shd w:val="clear" w:color="auto" w:fill="FFFFFF"/>
        <w:ind w:firstLine="567"/>
        <w:contextualSpacing/>
        <w:jc w:val="both"/>
        <w:rPr>
          <w:sz w:val="28"/>
          <w:szCs w:val="28"/>
        </w:rPr>
      </w:pPr>
      <w:r>
        <w:rPr>
          <w:sz w:val="28"/>
          <w:szCs w:val="28"/>
        </w:rPr>
        <w:t>5 декабря – 1 тур в 16.30</w:t>
      </w:r>
    </w:p>
    <w:p w14:paraId="6160D0AB">
      <w:pPr>
        <w:shd w:val="clear" w:color="auto" w:fill="FFFFFF"/>
        <w:ind w:firstLine="567"/>
        <w:contextualSpacing/>
        <w:jc w:val="both"/>
        <w:rPr>
          <w:sz w:val="28"/>
          <w:szCs w:val="28"/>
        </w:rPr>
      </w:pPr>
      <w:r>
        <w:rPr>
          <w:sz w:val="28"/>
          <w:szCs w:val="28"/>
        </w:rPr>
        <w:t>6декабря – 2 тур в 11.00, 3 тур в 16.30</w:t>
      </w:r>
    </w:p>
    <w:p w14:paraId="1FBCA3A6">
      <w:pPr>
        <w:shd w:val="clear" w:color="auto" w:fill="FFFFFF"/>
        <w:ind w:firstLine="567"/>
        <w:contextualSpacing/>
        <w:jc w:val="both"/>
        <w:rPr>
          <w:sz w:val="28"/>
          <w:szCs w:val="28"/>
        </w:rPr>
      </w:pPr>
      <w:r>
        <w:rPr>
          <w:sz w:val="28"/>
          <w:szCs w:val="28"/>
        </w:rPr>
        <w:t>7декабря –4 тур в 16.30</w:t>
      </w:r>
    </w:p>
    <w:p w14:paraId="23BFA75C">
      <w:pPr>
        <w:shd w:val="clear" w:color="auto" w:fill="FFFFFF"/>
        <w:ind w:firstLine="567"/>
        <w:contextualSpacing/>
        <w:jc w:val="both"/>
        <w:rPr>
          <w:sz w:val="28"/>
          <w:szCs w:val="28"/>
        </w:rPr>
      </w:pPr>
      <w:r>
        <w:rPr>
          <w:sz w:val="28"/>
          <w:szCs w:val="28"/>
        </w:rPr>
        <w:t>8декабря – 5 тур в 11.00, 6 тур в 16.30</w:t>
      </w:r>
    </w:p>
    <w:p w14:paraId="5BE88BA6">
      <w:pPr>
        <w:shd w:val="clear" w:color="auto" w:fill="FFFFFF"/>
        <w:ind w:firstLine="567"/>
        <w:contextualSpacing/>
        <w:jc w:val="both"/>
        <w:rPr>
          <w:sz w:val="28"/>
          <w:szCs w:val="28"/>
        </w:rPr>
      </w:pPr>
      <w:r>
        <w:rPr>
          <w:sz w:val="28"/>
          <w:szCs w:val="28"/>
        </w:rPr>
        <w:t>9декабря – 7 тур в 16.30</w:t>
      </w:r>
    </w:p>
    <w:p w14:paraId="198B4A33">
      <w:pPr>
        <w:shd w:val="clear" w:color="auto" w:fill="FFFFFF"/>
        <w:ind w:firstLine="567"/>
        <w:contextualSpacing/>
        <w:jc w:val="both"/>
        <w:rPr>
          <w:sz w:val="28"/>
          <w:szCs w:val="28"/>
        </w:rPr>
      </w:pPr>
      <w:r>
        <w:rPr>
          <w:sz w:val="28"/>
          <w:szCs w:val="28"/>
        </w:rPr>
        <w:t>10декабря – 8 тур в 16.30</w:t>
      </w:r>
    </w:p>
    <w:p w14:paraId="5BC11BA3">
      <w:pPr>
        <w:shd w:val="clear" w:color="auto" w:fill="FFFFFF"/>
        <w:ind w:firstLine="567"/>
        <w:contextualSpacing/>
        <w:jc w:val="both"/>
        <w:rPr>
          <w:sz w:val="28"/>
          <w:szCs w:val="28"/>
        </w:rPr>
      </w:pPr>
      <w:r>
        <w:rPr>
          <w:sz w:val="28"/>
          <w:szCs w:val="28"/>
        </w:rPr>
        <w:t>11декабря – 9 тур в 11.00</w:t>
      </w:r>
    </w:p>
    <w:p w14:paraId="545B0E33">
      <w:pPr>
        <w:shd w:val="clear" w:color="auto" w:fill="FFFFFF"/>
        <w:ind w:firstLine="567"/>
        <w:contextualSpacing/>
        <w:jc w:val="both"/>
        <w:rPr>
          <w:sz w:val="28"/>
          <w:szCs w:val="28"/>
        </w:rPr>
      </w:pPr>
      <w:r>
        <w:rPr>
          <w:sz w:val="28"/>
          <w:szCs w:val="28"/>
        </w:rPr>
        <w:t>Закрытие соревнований через 30 минут после окончания последней партии.</w:t>
      </w:r>
    </w:p>
    <w:p w14:paraId="5A22DA98">
      <w:pPr>
        <w:pStyle w:val="11"/>
        <w:shd w:val="clear" w:color="auto" w:fill="FFFFFF"/>
        <w:spacing w:before="269" w:line="278" w:lineRule="exact"/>
        <w:ind w:left="567"/>
        <w:jc w:val="center"/>
        <w:rPr>
          <w:b/>
          <w:bCs/>
          <w:sz w:val="28"/>
          <w:szCs w:val="28"/>
        </w:rPr>
      </w:pPr>
      <w:r>
        <w:rPr>
          <w:b/>
          <w:bCs/>
          <w:sz w:val="28"/>
          <w:szCs w:val="28"/>
        </w:rPr>
        <w:t>3.РУКОВОДСТВО ПРОВЕДЕНИЕМ СОРЕВНОВАНИЙ</w:t>
      </w:r>
    </w:p>
    <w:p w14:paraId="53999295">
      <w:pPr>
        <w:shd w:val="clear" w:color="auto" w:fill="FFFFFF"/>
        <w:spacing w:before="269"/>
        <w:ind w:firstLine="567"/>
        <w:contextualSpacing/>
        <w:jc w:val="both"/>
        <w:rPr>
          <w:sz w:val="28"/>
          <w:szCs w:val="28"/>
        </w:rPr>
      </w:pPr>
      <w:r>
        <w:rPr>
          <w:sz w:val="28"/>
          <w:szCs w:val="28"/>
        </w:rPr>
        <w:t>Общее руководство проведением соревнований осуществляет Министерство  спорта Республики Татарстан. Непосредственное проведение возлагается на судейскую коллегию и Федерацию шахмат РТ.</w:t>
      </w:r>
    </w:p>
    <w:p w14:paraId="188C279E">
      <w:pPr>
        <w:shd w:val="clear" w:color="auto" w:fill="FFFFFF"/>
        <w:spacing w:before="269"/>
        <w:ind w:firstLine="567"/>
        <w:contextualSpacing/>
        <w:jc w:val="both"/>
        <w:rPr>
          <w:sz w:val="28"/>
          <w:szCs w:val="28"/>
        </w:rPr>
      </w:pPr>
      <w:bookmarkStart w:id="0" w:name="_Hlk150159981"/>
      <w:r>
        <w:rPr>
          <w:sz w:val="28"/>
          <w:szCs w:val="28"/>
        </w:rPr>
        <w:t>Главный судья соревнований - МА, ССВК - Чибикова Ирина Николаевна (Республика Татарстан).</w:t>
      </w:r>
    </w:p>
    <w:bookmarkEnd w:id="0"/>
    <w:p w14:paraId="69EA9934">
      <w:pPr>
        <w:pStyle w:val="11"/>
        <w:shd w:val="clear" w:color="auto" w:fill="FFFFFF"/>
        <w:spacing w:before="269"/>
        <w:ind w:left="567" w:right="922"/>
        <w:jc w:val="center"/>
        <w:rPr>
          <w:b/>
          <w:bCs/>
          <w:sz w:val="28"/>
          <w:szCs w:val="28"/>
        </w:rPr>
      </w:pPr>
      <w:r>
        <w:rPr>
          <w:b/>
          <w:bCs/>
          <w:sz w:val="28"/>
          <w:szCs w:val="28"/>
        </w:rPr>
        <w:t>4.ПОРЯДОК ПРОВЕДЕНИЯ СОРЕВНОВАНИЙ</w:t>
      </w:r>
    </w:p>
    <w:p w14:paraId="49A84125">
      <w:pPr>
        <w:shd w:val="clear" w:color="auto" w:fill="FFFFFF"/>
        <w:spacing w:before="269"/>
        <w:ind w:right="-1" w:firstLine="540"/>
        <w:contextualSpacing/>
        <w:jc w:val="both"/>
        <w:rPr>
          <w:sz w:val="28"/>
          <w:szCs w:val="28"/>
        </w:rPr>
      </w:pPr>
      <w:r>
        <w:rPr>
          <w:sz w:val="28"/>
          <w:szCs w:val="28"/>
        </w:rPr>
        <w:t>В рамках Чемпионата РТ 2026 года по шахматам проводятся три турнира:</w:t>
      </w:r>
    </w:p>
    <w:p w14:paraId="710D3B49">
      <w:pPr>
        <w:shd w:val="clear" w:color="auto" w:fill="FFFFFF"/>
        <w:spacing w:before="269"/>
        <w:ind w:right="-1" w:firstLine="540"/>
        <w:contextualSpacing/>
        <w:jc w:val="both"/>
        <w:rPr>
          <w:sz w:val="28"/>
          <w:szCs w:val="28"/>
        </w:rPr>
      </w:pPr>
      <w:r>
        <w:rPr>
          <w:sz w:val="28"/>
          <w:szCs w:val="28"/>
        </w:rPr>
        <w:t>- финал Чемпионата РТ среди мужчин (круговая система в 9 туров),</w:t>
      </w:r>
    </w:p>
    <w:p w14:paraId="010E1E74">
      <w:pPr>
        <w:shd w:val="clear" w:color="auto" w:fill="FFFFFF"/>
        <w:spacing w:before="269"/>
        <w:ind w:right="-1" w:firstLine="540"/>
        <w:contextualSpacing/>
        <w:jc w:val="both"/>
        <w:rPr>
          <w:sz w:val="28"/>
          <w:szCs w:val="28"/>
        </w:rPr>
      </w:pPr>
      <w:r>
        <w:rPr>
          <w:sz w:val="28"/>
          <w:szCs w:val="28"/>
        </w:rPr>
        <w:t>- финал Чемпионата РТ среди женщин (круговая система в 9 туров),</w:t>
      </w:r>
    </w:p>
    <w:p w14:paraId="03FB19DB">
      <w:pPr>
        <w:shd w:val="clear" w:color="auto" w:fill="FFFFFF"/>
        <w:spacing w:before="269"/>
        <w:ind w:right="-1" w:firstLine="540"/>
        <w:contextualSpacing/>
        <w:jc w:val="both"/>
        <w:rPr>
          <w:sz w:val="28"/>
          <w:szCs w:val="28"/>
        </w:rPr>
      </w:pPr>
      <w:r>
        <w:rPr>
          <w:sz w:val="28"/>
          <w:szCs w:val="28"/>
        </w:rPr>
        <w:t>- открытый турнир (швейцарская система в 9 туров).</w:t>
      </w:r>
    </w:p>
    <w:p w14:paraId="29B68F45">
      <w:pPr>
        <w:shd w:val="clear" w:color="auto" w:fill="FFFFFF"/>
        <w:spacing w:before="269"/>
        <w:ind w:right="-1" w:firstLine="540"/>
        <w:contextualSpacing/>
        <w:jc w:val="both"/>
        <w:rPr>
          <w:sz w:val="28"/>
          <w:szCs w:val="28"/>
        </w:rPr>
      </w:pPr>
      <w:r>
        <w:rPr>
          <w:sz w:val="28"/>
          <w:szCs w:val="28"/>
        </w:rPr>
        <w:t>Контроль времени - 90 мин на всю партию каждому с добавлением 30сек за каждый ход, начиная с первого. Запись партии обязательна.</w:t>
      </w:r>
    </w:p>
    <w:p w14:paraId="5157A702">
      <w:pPr>
        <w:shd w:val="clear" w:color="auto" w:fill="FFFFFF"/>
        <w:tabs>
          <w:tab w:val="left" w:pos="365"/>
        </w:tabs>
        <w:ind w:right="-1" w:firstLine="540"/>
        <w:contextualSpacing/>
        <w:jc w:val="both"/>
        <w:rPr>
          <w:sz w:val="28"/>
          <w:szCs w:val="28"/>
        </w:rPr>
      </w:pPr>
      <w:r>
        <w:rPr>
          <w:sz w:val="28"/>
          <w:szCs w:val="28"/>
        </w:rPr>
        <w:t xml:space="preserve">Жеребьевка компьютерная с использованием программы </w:t>
      </w:r>
      <w:r>
        <w:rPr>
          <w:sz w:val="28"/>
          <w:szCs w:val="28"/>
          <w:lang w:val="en-US"/>
        </w:rPr>
        <w:t>SwissManager</w:t>
      </w:r>
      <w:r>
        <w:rPr>
          <w:sz w:val="28"/>
          <w:szCs w:val="28"/>
        </w:rPr>
        <w:t>.</w:t>
      </w:r>
    </w:p>
    <w:p w14:paraId="553A4E2E">
      <w:pPr>
        <w:shd w:val="clear" w:color="auto" w:fill="FFFFFF"/>
        <w:tabs>
          <w:tab w:val="left" w:pos="365"/>
        </w:tabs>
        <w:ind w:right="-1" w:firstLine="540"/>
        <w:contextualSpacing/>
        <w:jc w:val="both"/>
        <w:rPr>
          <w:sz w:val="28"/>
          <w:szCs w:val="28"/>
        </w:rPr>
      </w:pPr>
      <w:r>
        <w:rPr>
          <w:sz w:val="28"/>
          <w:szCs w:val="28"/>
        </w:rPr>
        <w:t>Спортивные соревнования проводятся по правилами вида спорта «шахматы», утвержденным приказом МС РФ от 29.12.2020 № 988 с изменениями, внесенными приказами МС РФ от 10.04.2023 № 243, от 11.05.2023 № 315, от 1.09.2026 № 792,и не противоречащими Правилам игры в шахматы ФИДЕ.</w:t>
      </w:r>
    </w:p>
    <w:p w14:paraId="55525407">
      <w:pPr>
        <w:shd w:val="clear" w:color="auto" w:fill="FFFFFF"/>
        <w:tabs>
          <w:tab w:val="left" w:pos="365"/>
        </w:tabs>
        <w:ind w:right="-1" w:firstLine="540"/>
        <w:contextualSpacing/>
        <w:jc w:val="both"/>
        <w:rPr>
          <w:sz w:val="28"/>
          <w:szCs w:val="28"/>
        </w:rPr>
      </w:pPr>
      <w:bookmarkStart w:id="1" w:name="_Hlk150160017"/>
      <w:r>
        <w:rPr>
          <w:sz w:val="28"/>
          <w:szCs w:val="28"/>
        </w:rPr>
        <w:t>Соревнования проводятся с обсчетом российского и международного рейтинга.</w:t>
      </w:r>
      <w:bookmarkEnd w:id="1"/>
    </w:p>
    <w:p w14:paraId="19793C4D">
      <w:pPr>
        <w:shd w:val="clear" w:color="auto" w:fill="FFFFFF"/>
        <w:tabs>
          <w:tab w:val="left" w:pos="365"/>
        </w:tabs>
        <w:ind w:right="-1" w:firstLine="540"/>
        <w:contextualSpacing/>
        <w:jc w:val="both"/>
        <w:rPr>
          <w:sz w:val="28"/>
          <w:szCs w:val="28"/>
        </w:rPr>
      </w:pPr>
    </w:p>
    <w:p w14:paraId="4F7C5DD4">
      <w:pPr>
        <w:shd w:val="clear" w:color="auto" w:fill="FFFFFF"/>
        <w:ind w:left="5" w:firstLine="562"/>
        <w:jc w:val="center"/>
        <w:rPr>
          <w:sz w:val="28"/>
          <w:szCs w:val="28"/>
        </w:rPr>
      </w:pPr>
      <w:r>
        <w:rPr>
          <w:sz w:val="28"/>
          <w:szCs w:val="28"/>
        </w:rPr>
        <w:t>5.</w:t>
      </w:r>
      <w:r>
        <w:rPr>
          <w:b/>
          <w:bCs/>
          <w:sz w:val="28"/>
          <w:szCs w:val="28"/>
        </w:rPr>
        <w:t>УЧАСТНИКИ СОРЕВНОВАНИЙ</w:t>
      </w:r>
    </w:p>
    <w:p w14:paraId="7131E6CA">
      <w:pPr>
        <w:shd w:val="clear" w:color="auto" w:fill="FFFFFF"/>
        <w:ind w:firstLine="567"/>
        <w:contextualSpacing/>
        <w:jc w:val="both"/>
        <w:rPr>
          <w:b/>
          <w:bCs/>
          <w:sz w:val="28"/>
          <w:szCs w:val="28"/>
        </w:rPr>
      </w:pPr>
      <w:r>
        <w:rPr>
          <w:sz w:val="28"/>
          <w:szCs w:val="28"/>
        </w:rPr>
        <w:t xml:space="preserve">К участию в чемпионате Республики Татарстан (далее РТ) по шахматам допускаются шахматисты, </w:t>
      </w:r>
      <w:r>
        <w:rPr>
          <w:b/>
          <w:bCs/>
          <w:sz w:val="28"/>
          <w:szCs w:val="28"/>
        </w:rPr>
        <w:t>имеющие прописку на территории Республики Татарстан и представляющие Республику Татарстан в российском рейтинг-листе.</w:t>
      </w:r>
    </w:p>
    <w:p w14:paraId="6A7257F3">
      <w:pPr>
        <w:shd w:val="clear" w:color="auto" w:fill="FFFFFF"/>
        <w:ind w:firstLine="567"/>
        <w:contextualSpacing/>
        <w:jc w:val="both"/>
        <w:rPr>
          <w:sz w:val="28"/>
          <w:szCs w:val="28"/>
        </w:rPr>
      </w:pPr>
      <w:r>
        <w:rPr>
          <w:sz w:val="28"/>
          <w:szCs w:val="28"/>
        </w:rPr>
        <w:t>Составы финалов Чемпионата РТ 2026 г. среди мужчин и женщин формируются следующим образом:</w:t>
      </w:r>
    </w:p>
    <w:p w14:paraId="78E1217C">
      <w:pPr>
        <w:shd w:val="clear" w:color="auto" w:fill="FFFFFF"/>
        <w:ind w:firstLine="567"/>
        <w:contextualSpacing/>
        <w:jc w:val="both"/>
        <w:rPr>
          <w:sz w:val="28"/>
          <w:szCs w:val="28"/>
        </w:rPr>
      </w:pPr>
      <w:r>
        <w:rPr>
          <w:sz w:val="28"/>
          <w:szCs w:val="28"/>
        </w:rPr>
        <w:t>- спортсмены (спортсменки), занявшие 1-5 места в Чемпионатах РТ 2025 года,</w:t>
      </w:r>
    </w:p>
    <w:p w14:paraId="2A0857DF">
      <w:pPr>
        <w:shd w:val="clear" w:color="auto" w:fill="FFFFFF"/>
        <w:ind w:firstLine="567"/>
        <w:contextualSpacing/>
        <w:jc w:val="both"/>
        <w:rPr>
          <w:sz w:val="28"/>
          <w:szCs w:val="28"/>
        </w:rPr>
      </w:pPr>
      <w:r>
        <w:rPr>
          <w:sz w:val="28"/>
          <w:szCs w:val="28"/>
        </w:rPr>
        <w:t>- спортсмены (спортсменки), занявшие 1-3 места в открытом турнире 2025 года,</w:t>
      </w:r>
    </w:p>
    <w:p w14:paraId="4F254A0C">
      <w:pPr>
        <w:shd w:val="clear" w:color="auto" w:fill="FFFFFF"/>
        <w:ind w:firstLine="567"/>
        <w:contextualSpacing/>
        <w:jc w:val="both"/>
        <w:rPr>
          <w:sz w:val="28"/>
          <w:szCs w:val="28"/>
        </w:rPr>
      </w:pPr>
      <w:r>
        <w:rPr>
          <w:sz w:val="28"/>
          <w:szCs w:val="28"/>
        </w:rPr>
        <w:t>- участники по решению федерации шахмат РТ. Учитываются высокие спортивные результаты, международный и российский рейтинг.</w:t>
      </w:r>
    </w:p>
    <w:p w14:paraId="7202BE2C">
      <w:pPr>
        <w:shd w:val="clear" w:color="auto" w:fill="FFFFFF"/>
        <w:ind w:firstLine="567"/>
        <w:contextualSpacing/>
        <w:jc w:val="both"/>
        <w:rPr>
          <w:sz w:val="28"/>
          <w:szCs w:val="28"/>
        </w:rPr>
      </w:pPr>
      <w:r>
        <w:rPr>
          <w:b/>
          <w:sz w:val="28"/>
          <w:szCs w:val="28"/>
          <w:lang w:eastAsia="en-US"/>
        </w:rPr>
        <w:t xml:space="preserve">Спортсмены, получившие право участвовать в чемпионатах, обязаны до 1 декабря 2026 года подтвердить свое участие, отправив сообщение на почту </w:t>
      </w:r>
      <w:r>
        <w:fldChar w:fldCharType="begin"/>
      </w:r>
      <w:r>
        <w:instrText xml:space="preserve"> HYPERLINK "mailto:tat-chess@mail.ru" </w:instrText>
      </w:r>
      <w:r>
        <w:fldChar w:fldCharType="separate"/>
      </w:r>
      <w:r>
        <w:rPr>
          <w:rStyle w:val="8"/>
          <w:sz w:val="28"/>
          <w:szCs w:val="28"/>
        </w:rPr>
        <w:t>tat-chess@mail.ru</w:t>
      </w:r>
      <w:r>
        <w:rPr>
          <w:rStyle w:val="8"/>
          <w:sz w:val="28"/>
          <w:szCs w:val="28"/>
        </w:rPr>
        <w:fldChar w:fldCharType="end"/>
      </w:r>
      <w:r>
        <w:t xml:space="preserve"> </w:t>
      </w:r>
      <w:r>
        <w:rPr>
          <w:rFonts w:eastAsia="Arial Unicode MS"/>
          <w:sz w:val="28"/>
          <w:szCs w:val="28"/>
        </w:rPr>
        <w:t xml:space="preserve">В случае отказа кого-либо из участников финала чемпионата РТ </w:t>
      </w:r>
      <w:r>
        <w:rPr>
          <w:sz w:val="28"/>
          <w:szCs w:val="28"/>
        </w:rPr>
        <w:t>кандидатский список формируется из шахматистов, утвержденных Федерацией шахмат РТ.</w:t>
      </w:r>
    </w:p>
    <w:p w14:paraId="6890F6A7">
      <w:pPr>
        <w:shd w:val="clear" w:color="auto" w:fill="FFFFFF"/>
        <w:ind w:firstLine="567"/>
        <w:contextualSpacing/>
        <w:jc w:val="both"/>
        <w:rPr>
          <w:b/>
          <w:sz w:val="28"/>
          <w:szCs w:val="28"/>
        </w:rPr>
      </w:pPr>
      <w:r>
        <w:rPr>
          <w:b/>
          <w:sz w:val="28"/>
          <w:szCs w:val="28"/>
        </w:rPr>
        <w:t>Спортсмены, не достигшие 18 лет, допускаются к участию при наличии российского или ФИДЕ рейтинга не менее 1600 пунктов на момент регистрации.</w:t>
      </w:r>
    </w:p>
    <w:p w14:paraId="27112A7A">
      <w:pPr>
        <w:shd w:val="clear" w:color="auto" w:fill="FFFFFF"/>
        <w:ind w:firstLine="567"/>
        <w:contextualSpacing/>
        <w:jc w:val="both"/>
        <w:rPr>
          <w:sz w:val="28"/>
          <w:szCs w:val="28"/>
        </w:rPr>
      </w:pPr>
      <w:r>
        <w:rPr>
          <w:sz w:val="28"/>
          <w:szCs w:val="28"/>
        </w:rPr>
        <w:t xml:space="preserve">К участию в </w:t>
      </w:r>
      <w:r>
        <w:rPr>
          <w:b/>
          <w:sz w:val="28"/>
          <w:szCs w:val="28"/>
        </w:rPr>
        <w:t>О</w:t>
      </w:r>
      <w:r>
        <w:rPr>
          <w:b/>
          <w:bCs/>
          <w:sz w:val="28"/>
          <w:szCs w:val="28"/>
        </w:rPr>
        <w:t xml:space="preserve">ткрытом турнире </w:t>
      </w:r>
      <w:r>
        <w:rPr>
          <w:sz w:val="28"/>
          <w:szCs w:val="28"/>
        </w:rPr>
        <w:t>допускаются шахматисты, оплатившие с целью создания призового фонда вступительный взнос в зависимости от следующих показателей:</w:t>
      </w:r>
    </w:p>
    <w:p w14:paraId="36ED706B">
      <w:pPr>
        <w:shd w:val="clear" w:color="auto" w:fill="FFFFFF"/>
        <w:ind w:firstLine="567"/>
        <w:jc w:val="both"/>
        <w:rPr>
          <w:b/>
          <w:bCs/>
          <w:sz w:val="28"/>
          <w:szCs w:val="28"/>
        </w:rPr>
      </w:pPr>
    </w:p>
    <w:tbl>
      <w:tblPr>
        <w:tblStyle w:val="3"/>
        <w:tblW w:w="94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8"/>
        <w:gridCol w:w="7250"/>
        <w:gridCol w:w="1662"/>
      </w:tblGrid>
      <w:tr w14:paraId="3FE72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538" w:type="dxa"/>
          </w:tcPr>
          <w:p w14:paraId="4287F74E">
            <w:pPr>
              <w:jc w:val="center"/>
              <w:rPr>
                <w:sz w:val="28"/>
                <w:szCs w:val="28"/>
              </w:rPr>
            </w:pPr>
            <w:r>
              <w:rPr>
                <w:sz w:val="28"/>
                <w:szCs w:val="28"/>
              </w:rPr>
              <w:t>№</w:t>
            </w:r>
          </w:p>
        </w:tc>
        <w:tc>
          <w:tcPr>
            <w:tcW w:w="7250" w:type="dxa"/>
          </w:tcPr>
          <w:p w14:paraId="3B9B11E9">
            <w:pPr>
              <w:jc w:val="center"/>
              <w:rPr>
                <w:sz w:val="28"/>
                <w:szCs w:val="28"/>
              </w:rPr>
            </w:pPr>
            <w:r>
              <w:rPr>
                <w:sz w:val="28"/>
                <w:szCs w:val="28"/>
              </w:rPr>
              <w:t>Показатели</w:t>
            </w:r>
          </w:p>
        </w:tc>
        <w:tc>
          <w:tcPr>
            <w:tcW w:w="1662" w:type="dxa"/>
          </w:tcPr>
          <w:p w14:paraId="0FC5E6E4">
            <w:pPr>
              <w:jc w:val="center"/>
              <w:rPr>
                <w:sz w:val="28"/>
                <w:szCs w:val="28"/>
              </w:rPr>
            </w:pPr>
            <w:r>
              <w:rPr>
                <w:sz w:val="28"/>
                <w:szCs w:val="28"/>
              </w:rPr>
              <w:t>Сумма взноса, руб.</w:t>
            </w:r>
          </w:p>
        </w:tc>
      </w:tr>
      <w:tr w14:paraId="3ABFA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trPr>
        <w:tc>
          <w:tcPr>
            <w:tcW w:w="538" w:type="dxa"/>
          </w:tcPr>
          <w:p w14:paraId="55A93C87">
            <w:pPr>
              <w:jc w:val="center"/>
              <w:rPr>
                <w:sz w:val="28"/>
                <w:szCs w:val="28"/>
              </w:rPr>
            </w:pPr>
            <w:r>
              <w:rPr>
                <w:sz w:val="28"/>
                <w:szCs w:val="28"/>
              </w:rPr>
              <w:t>1</w:t>
            </w:r>
          </w:p>
        </w:tc>
        <w:tc>
          <w:tcPr>
            <w:tcW w:w="7250" w:type="dxa"/>
          </w:tcPr>
          <w:p w14:paraId="65CCE0C5">
            <w:pPr>
              <w:rPr>
                <w:sz w:val="28"/>
                <w:szCs w:val="28"/>
              </w:rPr>
            </w:pPr>
            <w:r>
              <w:rPr>
                <w:sz w:val="28"/>
                <w:szCs w:val="28"/>
              </w:rPr>
              <w:t>1-3 места в Чемпионате РТ среди ветеранов в 2026 г</w:t>
            </w:r>
          </w:p>
        </w:tc>
        <w:tc>
          <w:tcPr>
            <w:tcW w:w="1662" w:type="dxa"/>
          </w:tcPr>
          <w:p w14:paraId="256FDA72">
            <w:pPr>
              <w:jc w:val="center"/>
              <w:rPr>
                <w:sz w:val="28"/>
                <w:szCs w:val="28"/>
              </w:rPr>
            </w:pPr>
            <w:r>
              <w:rPr>
                <w:sz w:val="28"/>
                <w:szCs w:val="28"/>
              </w:rPr>
              <w:t>0</w:t>
            </w:r>
          </w:p>
        </w:tc>
      </w:tr>
      <w:tr w14:paraId="7B1F8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538" w:type="dxa"/>
          </w:tcPr>
          <w:p w14:paraId="4E665FCE">
            <w:pPr>
              <w:jc w:val="center"/>
              <w:rPr>
                <w:sz w:val="28"/>
                <w:szCs w:val="28"/>
              </w:rPr>
            </w:pPr>
            <w:r>
              <w:rPr>
                <w:sz w:val="28"/>
                <w:szCs w:val="28"/>
              </w:rPr>
              <w:t>2</w:t>
            </w:r>
          </w:p>
        </w:tc>
        <w:tc>
          <w:tcPr>
            <w:tcW w:w="7250" w:type="dxa"/>
          </w:tcPr>
          <w:p w14:paraId="55CBA6A0">
            <w:pPr>
              <w:rPr>
                <w:sz w:val="28"/>
                <w:szCs w:val="28"/>
              </w:rPr>
            </w:pPr>
            <w:r>
              <w:rPr>
                <w:sz w:val="28"/>
                <w:szCs w:val="28"/>
              </w:rPr>
              <w:t>Шахматисты, имеющие рейтинг 2400 и выше (по российскому или ФИДЕ рейтингу)</w:t>
            </w:r>
          </w:p>
        </w:tc>
        <w:tc>
          <w:tcPr>
            <w:tcW w:w="1662" w:type="dxa"/>
          </w:tcPr>
          <w:p w14:paraId="7DF8CEF8">
            <w:pPr>
              <w:jc w:val="center"/>
              <w:rPr>
                <w:sz w:val="28"/>
                <w:szCs w:val="28"/>
              </w:rPr>
            </w:pPr>
            <w:r>
              <w:rPr>
                <w:sz w:val="28"/>
                <w:szCs w:val="28"/>
              </w:rPr>
              <w:t>0</w:t>
            </w:r>
          </w:p>
        </w:tc>
      </w:tr>
      <w:tr w14:paraId="1784B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538" w:type="dxa"/>
          </w:tcPr>
          <w:p w14:paraId="305EE1A2">
            <w:pPr>
              <w:jc w:val="center"/>
              <w:rPr>
                <w:sz w:val="28"/>
                <w:szCs w:val="28"/>
              </w:rPr>
            </w:pPr>
            <w:r>
              <w:rPr>
                <w:sz w:val="28"/>
                <w:szCs w:val="28"/>
              </w:rPr>
              <w:t>3</w:t>
            </w:r>
          </w:p>
        </w:tc>
        <w:tc>
          <w:tcPr>
            <w:tcW w:w="7250" w:type="dxa"/>
          </w:tcPr>
          <w:p w14:paraId="12843795">
            <w:pPr>
              <w:rPr>
                <w:sz w:val="28"/>
                <w:szCs w:val="28"/>
              </w:rPr>
            </w:pPr>
            <w:r>
              <w:rPr>
                <w:sz w:val="28"/>
                <w:szCs w:val="28"/>
              </w:rPr>
              <w:t>Шахматисты, имеющие рейтинг 2200-2399</w:t>
            </w:r>
          </w:p>
          <w:p w14:paraId="25C4B7E0">
            <w:pPr>
              <w:rPr>
                <w:sz w:val="28"/>
                <w:szCs w:val="28"/>
              </w:rPr>
            </w:pPr>
            <w:r>
              <w:rPr>
                <w:sz w:val="28"/>
                <w:szCs w:val="28"/>
              </w:rPr>
              <w:t>(по российскому или ФИДЕ рейтингу)</w:t>
            </w:r>
          </w:p>
        </w:tc>
        <w:tc>
          <w:tcPr>
            <w:tcW w:w="1662" w:type="dxa"/>
          </w:tcPr>
          <w:p w14:paraId="251F5B89">
            <w:pPr>
              <w:jc w:val="center"/>
              <w:rPr>
                <w:sz w:val="28"/>
                <w:szCs w:val="28"/>
              </w:rPr>
            </w:pPr>
            <w:r>
              <w:rPr>
                <w:sz w:val="28"/>
                <w:szCs w:val="28"/>
              </w:rPr>
              <w:t>1000</w:t>
            </w:r>
          </w:p>
        </w:tc>
      </w:tr>
      <w:tr w14:paraId="5173A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538" w:type="dxa"/>
          </w:tcPr>
          <w:p w14:paraId="6018F57D">
            <w:pPr>
              <w:jc w:val="center"/>
              <w:rPr>
                <w:sz w:val="28"/>
                <w:szCs w:val="28"/>
              </w:rPr>
            </w:pPr>
            <w:r>
              <w:rPr>
                <w:sz w:val="28"/>
                <w:szCs w:val="28"/>
              </w:rPr>
              <w:t>4</w:t>
            </w:r>
          </w:p>
        </w:tc>
        <w:tc>
          <w:tcPr>
            <w:tcW w:w="7250" w:type="dxa"/>
          </w:tcPr>
          <w:p w14:paraId="2045F39D">
            <w:pPr>
              <w:rPr>
                <w:sz w:val="28"/>
                <w:szCs w:val="28"/>
              </w:rPr>
            </w:pPr>
            <w:r>
              <w:rPr>
                <w:sz w:val="28"/>
                <w:szCs w:val="28"/>
              </w:rPr>
              <w:t>Шахматисты, имеющие рейтинг 2000-2199</w:t>
            </w:r>
          </w:p>
          <w:p w14:paraId="3FF0BA0B">
            <w:pPr>
              <w:rPr>
                <w:sz w:val="28"/>
                <w:szCs w:val="28"/>
              </w:rPr>
            </w:pPr>
            <w:r>
              <w:rPr>
                <w:sz w:val="28"/>
                <w:szCs w:val="28"/>
              </w:rPr>
              <w:t>(по российскому или ФИДЕ рейтингу)</w:t>
            </w:r>
          </w:p>
        </w:tc>
        <w:tc>
          <w:tcPr>
            <w:tcW w:w="1662" w:type="dxa"/>
          </w:tcPr>
          <w:p w14:paraId="055AF264">
            <w:pPr>
              <w:jc w:val="center"/>
              <w:rPr>
                <w:sz w:val="28"/>
                <w:szCs w:val="28"/>
              </w:rPr>
            </w:pPr>
            <w:r>
              <w:rPr>
                <w:sz w:val="28"/>
                <w:szCs w:val="28"/>
              </w:rPr>
              <w:t>2000</w:t>
            </w:r>
          </w:p>
        </w:tc>
      </w:tr>
      <w:tr w14:paraId="5A95F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6" w:hRule="atLeast"/>
        </w:trPr>
        <w:tc>
          <w:tcPr>
            <w:tcW w:w="538" w:type="dxa"/>
          </w:tcPr>
          <w:p w14:paraId="10C30B48">
            <w:pPr>
              <w:jc w:val="center"/>
              <w:rPr>
                <w:sz w:val="28"/>
                <w:szCs w:val="28"/>
              </w:rPr>
            </w:pPr>
            <w:r>
              <w:rPr>
                <w:sz w:val="28"/>
                <w:szCs w:val="28"/>
              </w:rPr>
              <w:t>5</w:t>
            </w:r>
          </w:p>
        </w:tc>
        <w:tc>
          <w:tcPr>
            <w:tcW w:w="7250" w:type="dxa"/>
          </w:tcPr>
          <w:p w14:paraId="645AAA7A">
            <w:pPr>
              <w:rPr>
                <w:sz w:val="28"/>
                <w:szCs w:val="28"/>
              </w:rPr>
            </w:pPr>
            <w:r>
              <w:rPr>
                <w:sz w:val="28"/>
                <w:szCs w:val="28"/>
              </w:rPr>
              <w:t>Шахматисты, имеющие рейтинг 1700-1999</w:t>
            </w:r>
          </w:p>
          <w:p w14:paraId="37EB4B42">
            <w:pPr>
              <w:rPr>
                <w:sz w:val="28"/>
                <w:szCs w:val="28"/>
              </w:rPr>
            </w:pPr>
            <w:r>
              <w:rPr>
                <w:sz w:val="28"/>
                <w:szCs w:val="28"/>
              </w:rPr>
              <w:t>(по российскому или ФИДЕ рейтингу)</w:t>
            </w:r>
          </w:p>
        </w:tc>
        <w:tc>
          <w:tcPr>
            <w:tcW w:w="1662" w:type="dxa"/>
          </w:tcPr>
          <w:p w14:paraId="27CCB503">
            <w:pPr>
              <w:jc w:val="center"/>
              <w:rPr>
                <w:sz w:val="28"/>
                <w:szCs w:val="28"/>
              </w:rPr>
            </w:pPr>
            <w:r>
              <w:rPr>
                <w:sz w:val="28"/>
                <w:szCs w:val="28"/>
              </w:rPr>
              <w:t>2500</w:t>
            </w:r>
          </w:p>
        </w:tc>
      </w:tr>
      <w:tr w14:paraId="1D238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6" w:hRule="atLeast"/>
        </w:trPr>
        <w:tc>
          <w:tcPr>
            <w:tcW w:w="538" w:type="dxa"/>
          </w:tcPr>
          <w:p w14:paraId="3E1FA399">
            <w:pPr>
              <w:jc w:val="center"/>
              <w:rPr>
                <w:sz w:val="28"/>
                <w:szCs w:val="28"/>
              </w:rPr>
            </w:pPr>
            <w:r>
              <w:rPr>
                <w:sz w:val="28"/>
                <w:szCs w:val="28"/>
              </w:rPr>
              <w:t>6</w:t>
            </w:r>
          </w:p>
        </w:tc>
        <w:tc>
          <w:tcPr>
            <w:tcW w:w="7250" w:type="dxa"/>
          </w:tcPr>
          <w:p w14:paraId="0399B7BE">
            <w:pPr>
              <w:rPr>
                <w:sz w:val="28"/>
                <w:szCs w:val="28"/>
              </w:rPr>
            </w:pPr>
            <w:r>
              <w:rPr>
                <w:sz w:val="28"/>
                <w:szCs w:val="28"/>
              </w:rPr>
              <w:t>Шахматисты, имеющие рейтинг менее 1700</w:t>
            </w:r>
          </w:p>
          <w:p w14:paraId="46A9D8AF">
            <w:pPr>
              <w:rPr>
                <w:sz w:val="28"/>
                <w:szCs w:val="28"/>
              </w:rPr>
            </w:pPr>
            <w:r>
              <w:rPr>
                <w:sz w:val="28"/>
                <w:szCs w:val="28"/>
              </w:rPr>
              <w:t>(по российскому или ФИДЕ рейтингу)</w:t>
            </w:r>
          </w:p>
        </w:tc>
        <w:tc>
          <w:tcPr>
            <w:tcW w:w="1662" w:type="dxa"/>
          </w:tcPr>
          <w:p w14:paraId="1E28DBBE">
            <w:pPr>
              <w:jc w:val="center"/>
              <w:rPr>
                <w:sz w:val="28"/>
                <w:szCs w:val="28"/>
              </w:rPr>
            </w:pPr>
            <w:r>
              <w:rPr>
                <w:sz w:val="28"/>
                <w:szCs w:val="28"/>
              </w:rPr>
              <w:t>3500</w:t>
            </w:r>
          </w:p>
        </w:tc>
      </w:tr>
      <w:tr w14:paraId="529DF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8" w:type="dxa"/>
          </w:tcPr>
          <w:p w14:paraId="63907103">
            <w:pPr>
              <w:jc w:val="center"/>
              <w:rPr>
                <w:sz w:val="28"/>
                <w:szCs w:val="28"/>
              </w:rPr>
            </w:pPr>
            <w:r>
              <w:rPr>
                <w:sz w:val="28"/>
                <w:szCs w:val="28"/>
              </w:rPr>
              <w:t>7</w:t>
            </w:r>
          </w:p>
        </w:tc>
        <w:tc>
          <w:tcPr>
            <w:tcW w:w="7250" w:type="dxa"/>
          </w:tcPr>
          <w:p w14:paraId="31BC6A6A">
            <w:pPr>
              <w:rPr>
                <w:sz w:val="28"/>
                <w:szCs w:val="28"/>
              </w:rPr>
            </w:pPr>
            <w:r>
              <w:rPr>
                <w:sz w:val="28"/>
                <w:szCs w:val="28"/>
              </w:rPr>
              <w:t>Без рейтинга ФИДЕ или российского рейтинга</w:t>
            </w:r>
          </w:p>
        </w:tc>
        <w:tc>
          <w:tcPr>
            <w:tcW w:w="1662" w:type="dxa"/>
          </w:tcPr>
          <w:p w14:paraId="1443DD4D">
            <w:pPr>
              <w:jc w:val="center"/>
              <w:rPr>
                <w:sz w:val="28"/>
                <w:szCs w:val="28"/>
              </w:rPr>
            </w:pPr>
            <w:r>
              <w:rPr>
                <w:sz w:val="28"/>
                <w:szCs w:val="28"/>
              </w:rPr>
              <w:t>5</w:t>
            </w:r>
            <w:r>
              <w:rPr>
                <w:sz w:val="28"/>
                <w:szCs w:val="28"/>
                <w:lang w:val="en-US"/>
              </w:rPr>
              <w:t>0</w:t>
            </w:r>
            <w:r>
              <w:rPr>
                <w:sz w:val="28"/>
                <w:szCs w:val="28"/>
              </w:rPr>
              <w:t>00</w:t>
            </w:r>
          </w:p>
        </w:tc>
      </w:tr>
      <w:tr w14:paraId="6534B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8" w:type="dxa"/>
          </w:tcPr>
          <w:p w14:paraId="7C252935">
            <w:pPr>
              <w:jc w:val="center"/>
              <w:rPr>
                <w:sz w:val="28"/>
                <w:szCs w:val="28"/>
              </w:rPr>
            </w:pPr>
            <w:r>
              <w:rPr>
                <w:sz w:val="28"/>
                <w:szCs w:val="28"/>
              </w:rPr>
              <w:t>8</w:t>
            </w:r>
          </w:p>
        </w:tc>
        <w:tc>
          <w:tcPr>
            <w:tcW w:w="7250" w:type="dxa"/>
          </w:tcPr>
          <w:p w14:paraId="2E414657">
            <w:pPr>
              <w:rPr>
                <w:sz w:val="28"/>
                <w:szCs w:val="28"/>
              </w:rPr>
            </w:pPr>
            <w:r>
              <w:rPr>
                <w:sz w:val="28"/>
                <w:szCs w:val="28"/>
              </w:rPr>
              <w:t xml:space="preserve">Для женщин с любым рейтингом вступительный взнос </w:t>
            </w:r>
          </w:p>
        </w:tc>
        <w:tc>
          <w:tcPr>
            <w:tcW w:w="1662" w:type="dxa"/>
          </w:tcPr>
          <w:p w14:paraId="6163A868">
            <w:pPr>
              <w:jc w:val="center"/>
              <w:rPr>
                <w:sz w:val="28"/>
                <w:szCs w:val="28"/>
              </w:rPr>
            </w:pPr>
            <w:r>
              <w:rPr>
                <w:sz w:val="28"/>
                <w:szCs w:val="28"/>
              </w:rPr>
              <w:t>1000</w:t>
            </w:r>
          </w:p>
        </w:tc>
      </w:tr>
      <w:tr w14:paraId="34ED7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8" w:type="dxa"/>
          </w:tcPr>
          <w:p w14:paraId="0C8B3351">
            <w:pPr>
              <w:jc w:val="center"/>
              <w:rPr>
                <w:sz w:val="28"/>
                <w:szCs w:val="28"/>
              </w:rPr>
            </w:pPr>
            <w:r>
              <w:rPr>
                <w:sz w:val="28"/>
                <w:szCs w:val="28"/>
              </w:rPr>
              <w:t>9</w:t>
            </w:r>
          </w:p>
        </w:tc>
        <w:tc>
          <w:tcPr>
            <w:tcW w:w="7250" w:type="dxa"/>
          </w:tcPr>
          <w:p w14:paraId="5AD3C76D">
            <w:pPr>
              <w:rPr>
                <w:b/>
                <w:sz w:val="28"/>
                <w:szCs w:val="28"/>
              </w:rPr>
            </w:pPr>
            <w:r>
              <w:rPr>
                <w:b/>
                <w:sz w:val="28"/>
                <w:szCs w:val="28"/>
              </w:rPr>
              <w:t>Спортсмены до 18 лет</w:t>
            </w:r>
          </w:p>
        </w:tc>
        <w:tc>
          <w:tcPr>
            <w:tcW w:w="1662" w:type="dxa"/>
          </w:tcPr>
          <w:p w14:paraId="5E6F4EA6">
            <w:pPr>
              <w:jc w:val="center"/>
              <w:rPr>
                <w:b/>
                <w:sz w:val="28"/>
                <w:szCs w:val="28"/>
              </w:rPr>
            </w:pPr>
            <w:r>
              <w:rPr>
                <w:b/>
                <w:sz w:val="28"/>
                <w:szCs w:val="28"/>
              </w:rPr>
              <w:t>0</w:t>
            </w:r>
          </w:p>
        </w:tc>
      </w:tr>
    </w:tbl>
    <w:p w14:paraId="6A354786">
      <w:pPr>
        <w:shd w:val="clear" w:color="auto" w:fill="FFFFFF"/>
        <w:spacing w:before="5"/>
        <w:ind w:left="6" w:firstLine="567"/>
        <w:contextualSpacing/>
        <w:jc w:val="both"/>
        <w:rPr>
          <w:b/>
          <w:sz w:val="28"/>
          <w:szCs w:val="28"/>
        </w:rPr>
      </w:pPr>
      <w:r>
        <w:rPr>
          <w:sz w:val="28"/>
          <w:szCs w:val="28"/>
        </w:rPr>
        <w:t>От вступительного взноса в открытом турнире освобождаются</w:t>
      </w:r>
      <w:r>
        <w:rPr>
          <w:b/>
          <w:sz w:val="28"/>
          <w:szCs w:val="28"/>
        </w:rPr>
        <w:t>:</w:t>
      </w:r>
    </w:p>
    <w:p w14:paraId="56A90008">
      <w:pPr>
        <w:pStyle w:val="11"/>
        <w:shd w:val="clear" w:color="auto" w:fill="FFFFFF"/>
        <w:spacing w:before="5"/>
        <w:ind w:left="6" w:firstLine="567"/>
        <w:jc w:val="both"/>
        <w:rPr>
          <w:sz w:val="28"/>
          <w:szCs w:val="28"/>
        </w:rPr>
      </w:pPr>
      <w:r>
        <w:rPr>
          <w:sz w:val="28"/>
          <w:szCs w:val="28"/>
        </w:rPr>
        <w:t>1.Международные гроссмейстеры и международные мастера;</w:t>
      </w:r>
    </w:p>
    <w:p w14:paraId="507A327D">
      <w:pPr>
        <w:pStyle w:val="11"/>
        <w:shd w:val="clear" w:color="auto" w:fill="FFFFFF"/>
        <w:spacing w:before="5"/>
        <w:ind w:left="6" w:firstLine="567"/>
        <w:jc w:val="both"/>
        <w:rPr>
          <w:sz w:val="28"/>
          <w:szCs w:val="28"/>
        </w:rPr>
      </w:pPr>
      <w:r>
        <w:rPr>
          <w:sz w:val="28"/>
          <w:szCs w:val="28"/>
        </w:rPr>
        <w:t>2.Шахматисты, имеющий рейтинг выше 2400 (у женщин – 2100)</w:t>
      </w:r>
    </w:p>
    <w:p w14:paraId="0F1AADD9">
      <w:pPr>
        <w:pStyle w:val="11"/>
        <w:shd w:val="clear" w:color="auto" w:fill="FFFFFF"/>
        <w:spacing w:before="5"/>
        <w:ind w:left="6" w:firstLine="567"/>
        <w:jc w:val="both"/>
        <w:rPr>
          <w:sz w:val="28"/>
          <w:szCs w:val="28"/>
        </w:rPr>
      </w:pPr>
      <w:r>
        <w:rPr>
          <w:sz w:val="28"/>
          <w:szCs w:val="28"/>
        </w:rPr>
        <w:t>(на момент регистрации в рейтинг-листе ФИДЕ или ФШР);</w:t>
      </w:r>
    </w:p>
    <w:p w14:paraId="219BE899">
      <w:pPr>
        <w:shd w:val="clear" w:color="auto" w:fill="FFFFFF"/>
        <w:spacing w:before="5"/>
        <w:ind w:left="6" w:firstLine="567"/>
        <w:contextualSpacing/>
        <w:jc w:val="both"/>
        <w:rPr>
          <w:sz w:val="28"/>
          <w:szCs w:val="28"/>
        </w:rPr>
      </w:pPr>
      <w:r>
        <w:rPr>
          <w:sz w:val="28"/>
          <w:szCs w:val="28"/>
        </w:rPr>
        <w:t>3.Чемпионы и призеры (1-3 места) РТ среди ветеранов 2026г.;</w:t>
      </w:r>
    </w:p>
    <w:p w14:paraId="4DBACA5B">
      <w:pPr>
        <w:pStyle w:val="11"/>
        <w:shd w:val="clear" w:color="auto" w:fill="FFFFFF"/>
        <w:spacing w:before="5"/>
        <w:ind w:left="6" w:firstLine="567"/>
        <w:jc w:val="both"/>
        <w:rPr>
          <w:sz w:val="28"/>
          <w:szCs w:val="28"/>
        </w:rPr>
      </w:pPr>
      <w:r>
        <w:rPr>
          <w:sz w:val="28"/>
          <w:szCs w:val="28"/>
        </w:rPr>
        <w:t>4.Чемпионы и призеры (1-3 места) городов и районов РТ 2026г.;</w:t>
      </w:r>
    </w:p>
    <w:p w14:paraId="68602D04">
      <w:pPr>
        <w:pStyle w:val="11"/>
        <w:shd w:val="clear" w:color="auto" w:fill="FFFFFF"/>
        <w:spacing w:before="5"/>
        <w:ind w:left="6" w:firstLine="567"/>
        <w:jc w:val="both"/>
        <w:rPr>
          <w:sz w:val="28"/>
          <w:szCs w:val="28"/>
        </w:rPr>
      </w:pPr>
      <w:r>
        <w:rPr>
          <w:sz w:val="28"/>
          <w:szCs w:val="28"/>
        </w:rPr>
        <w:t>5.Чемпионки городов и районов РТ 2026 г. среди женщин.</w:t>
      </w:r>
    </w:p>
    <w:p w14:paraId="09E93DAB">
      <w:pPr>
        <w:shd w:val="clear" w:color="auto" w:fill="FFFFFF"/>
        <w:spacing w:before="5"/>
        <w:ind w:left="6" w:firstLine="567"/>
        <w:contextualSpacing/>
        <w:jc w:val="both"/>
        <w:rPr>
          <w:b/>
          <w:sz w:val="28"/>
          <w:szCs w:val="28"/>
        </w:rPr>
      </w:pPr>
      <w:r>
        <w:rPr>
          <w:b/>
          <w:sz w:val="28"/>
          <w:szCs w:val="28"/>
        </w:rPr>
        <w:t>6.Спортсмены, не достигшие возраста 18 лет</w:t>
      </w:r>
    </w:p>
    <w:p w14:paraId="64DFA5CC">
      <w:pPr>
        <w:shd w:val="clear" w:color="auto" w:fill="FFFFFF"/>
        <w:ind w:left="6" w:firstLine="567"/>
        <w:contextualSpacing/>
        <w:jc w:val="both"/>
        <w:rPr>
          <w:sz w:val="28"/>
          <w:szCs w:val="28"/>
        </w:rPr>
      </w:pPr>
      <w:r>
        <w:rPr>
          <w:sz w:val="28"/>
          <w:szCs w:val="28"/>
        </w:rPr>
        <w:t>*Призеры городов и районов РТ должны иметь</w:t>
      </w:r>
      <w:r>
        <w:rPr>
          <w:b/>
          <w:sz w:val="28"/>
          <w:szCs w:val="28"/>
        </w:rPr>
        <w:t xml:space="preserve"> таблицы</w:t>
      </w:r>
      <w:r>
        <w:rPr>
          <w:sz w:val="28"/>
          <w:szCs w:val="28"/>
        </w:rPr>
        <w:t xml:space="preserve"> проведенных соревнований, заверенных спорткомитетами этих городов и районов и до 1декабря 2026 г. прислать на электронную почту </w:t>
      </w:r>
      <w:r>
        <w:fldChar w:fldCharType="begin"/>
      </w:r>
      <w:r>
        <w:instrText xml:space="preserve"> HYPERLINK "mailto:tat-chess@mail.ru" </w:instrText>
      </w:r>
      <w:r>
        <w:fldChar w:fldCharType="separate"/>
      </w:r>
      <w:r>
        <w:rPr>
          <w:rStyle w:val="8"/>
          <w:sz w:val="28"/>
          <w:szCs w:val="28"/>
        </w:rPr>
        <w:t>tat-chess@mail.ru</w:t>
      </w:r>
      <w:r>
        <w:rPr>
          <w:rStyle w:val="8"/>
          <w:sz w:val="28"/>
          <w:szCs w:val="28"/>
        </w:rPr>
        <w:fldChar w:fldCharType="end"/>
      </w:r>
      <w:r>
        <w:rPr>
          <w:sz w:val="28"/>
          <w:szCs w:val="28"/>
        </w:rPr>
        <w:t>.</w:t>
      </w:r>
    </w:p>
    <w:p w14:paraId="0E483712">
      <w:pPr>
        <w:tabs>
          <w:tab w:val="left" w:pos="142"/>
        </w:tabs>
        <w:spacing w:after="60"/>
        <w:ind w:left="6" w:firstLine="567"/>
        <w:contextualSpacing/>
        <w:jc w:val="both"/>
        <w:textAlignment w:val="baseline"/>
        <w:rPr>
          <w:bCs/>
          <w:sz w:val="28"/>
          <w:szCs w:val="28"/>
        </w:rPr>
      </w:pPr>
      <w:r>
        <w:rPr>
          <w:sz w:val="28"/>
          <w:szCs w:val="28"/>
        </w:rPr>
        <w:t xml:space="preserve">Вступительные взносы (в рублях) следует </w:t>
      </w:r>
      <w:r>
        <w:rPr>
          <w:sz w:val="28"/>
          <w:szCs w:val="28"/>
          <w:u w:val="single"/>
        </w:rPr>
        <w:t xml:space="preserve">перечислять на расчетный счет </w:t>
      </w:r>
      <w:r>
        <w:rPr>
          <w:bCs/>
          <w:sz w:val="28"/>
          <w:szCs w:val="28"/>
          <w:u w:val="single"/>
        </w:rPr>
        <w:t>ФШ РТ</w:t>
      </w:r>
      <w:r>
        <w:rPr>
          <w:b/>
          <w:bCs/>
          <w:sz w:val="28"/>
          <w:szCs w:val="28"/>
        </w:rPr>
        <w:t>:</w:t>
      </w:r>
    </w:p>
    <w:p w14:paraId="1619CC72">
      <w:pPr>
        <w:pStyle w:val="4"/>
        <w:tabs>
          <w:tab w:val="left" w:pos="142"/>
        </w:tabs>
        <w:spacing w:after="60" w:line="240" w:lineRule="auto"/>
        <w:ind w:left="6" w:firstLine="567"/>
        <w:contextualSpacing/>
        <w:jc w:val="both"/>
        <w:rPr>
          <w:sz w:val="28"/>
          <w:szCs w:val="28"/>
        </w:rPr>
      </w:pPr>
      <w:r>
        <w:rPr>
          <w:b/>
          <w:bCs/>
          <w:sz w:val="28"/>
          <w:szCs w:val="28"/>
        </w:rPr>
        <w:t xml:space="preserve">Региональная Общественная Организация «Федерация Шахмат Республики Татарстан» </w:t>
      </w:r>
      <w:r>
        <w:rPr>
          <w:sz w:val="28"/>
          <w:szCs w:val="28"/>
        </w:rPr>
        <w:t>ИНН 1655063807/КПП 165501001</w:t>
      </w:r>
    </w:p>
    <w:p w14:paraId="22C0CD91">
      <w:pPr>
        <w:pStyle w:val="4"/>
        <w:tabs>
          <w:tab w:val="left" w:pos="142"/>
        </w:tabs>
        <w:spacing w:after="60" w:line="240" w:lineRule="auto"/>
        <w:ind w:left="6" w:firstLine="567"/>
        <w:contextualSpacing/>
        <w:jc w:val="both"/>
        <w:rPr>
          <w:sz w:val="28"/>
          <w:szCs w:val="28"/>
        </w:rPr>
      </w:pPr>
      <w:r>
        <w:rPr>
          <w:sz w:val="28"/>
          <w:szCs w:val="28"/>
        </w:rPr>
        <w:t xml:space="preserve">Р/счет № 40 703 810 362 190 100 606  </w:t>
      </w:r>
    </w:p>
    <w:p w14:paraId="7B1567FB">
      <w:pPr>
        <w:pStyle w:val="4"/>
        <w:tabs>
          <w:tab w:val="left" w:pos="142"/>
        </w:tabs>
        <w:spacing w:after="60" w:line="240" w:lineRule="auto"/>
        <w:ind w:left="6" w:firstLine="567"/>
        <w:contextualSpacing/>
        <w:jc w:val="both"/>
        <w:rPr>
          <w:sz w:val="28"/>
          <w:szCs w:val="28"/>
        </w:rPr>
      </w:pPr>
      <w:r>
        <w:rPr>
          <w:sz w:val="28"/>
          <w:szCs w:val="28"/>
        </w:rPr>
        <w:t>в Отделении №8610 Сбербанка России г. Казань</w:t>
      </w:r>
    </w:p>
    <w:p w14:paraId="6747DAA5">
      <w:pPr>
        <w:pStyle w:val="4"/>
        <w:tabs>
          <w:tab w:val="left" w:pos="142"/>
        </w:tabs>
        <w:spacing w:after="60" w:line="240" w:lineRule="auto"/>
        <w:ind w:left="6" w:firstLine="567"/>
        <w:contextualSpacing/>
        <w:jc w:val="both"/>
        <w:rPr>
          <w:sz w:val="28"/>
          <w:szCs w:val="28"/>
        </w:rPr>
      </w:pPr>
      <w:r>
        <w:rPr>
          <w:sz w:val="28"/>
          <w:szCs w:val="28"/>
        </w:rPr>
        <w:t>БИК 049205603, кор/счет № 30 101 810 600 000 000 603.</w:t>
      </w:r>
    </w:p>
    <w:p w14:paraId="5598068C">
      <w:pPr>
        <w:pStyle w:val="4"/>
        <w:tabs>
          <w:tab w:val="left" w:pos="142"/>
        </w:tabs>
        <w:spacing w:after="60" w:line="240" w:lineRule="auto"/>
        <w:ind w:left="6" w:firstLine="567"/>
        <w:contextualSpacing/>
        <w:jc w:val="both"/>
        <w:rPr>
          <w:sz w:val="28"/>
          <w:szCs w:val="28"/>
          <w:u w:val="single"/>
        </w:rPr>
      </w:pPr>
      <w:r>
        <w:rPr>
          <w:b/>
          <w:sz w:val="28"/>
          <w:szCs w:val="28"/>
        </w:rPr>
        <w:t xml:space="preserve">В квитанции обязательно указывать: </w:t>
      </w:r>
      <w:r>
        <w:rPr>
          <w:sz w:val="28"/>
          <w:szCs w:val="28"/>
        </w:rPr>
        <w:t xml:space="preserve">Ф.И.О участника, сумму взноса, наименование турнира. </w:t>
      </w:r>
      <w:r>
        <w:rPr>
          <w:sz w:val="28"/>
          <w:szCs w:val="28"/>
          <w:u w:val="single"/>
        </w:rPr>
        <w:t>Вступительный взнос оплатить до 1 декабря 2026 г.</w:t>
      </w:r>
    </w:p>
    <w:p w14:paraId="5726737D">
      <w:pPr>
        <w:shd w:val="clear" w:color="auto" w:fill="FFFFFF"/>
        <w:ind w:left="6" w:firstLine="567"/>
        <w:contextualSpacing/>
        <w:jc w:val="both"/>
        <w:rPr>
          <w:sz w:val="28"/>
          <w:szCs w:val="28"/>
        </w:rPr>
      </w:pPr>
      <w:r>
        <w:rPr>
          <w:sz w:val="28"/>
          <w:szCs w:val="28"/>
        </w:rPr>
        <w:t>В день регистрации при себе иметь: квитанцию об оплате, заполненную анкету, ксерокопии паспорта, ИНН, ПСС, медицинскую справку от врача о допуске к соревнованиям. Вход в игровой зал только в сменной обуви или в бахилах.</w:t>
      </w:r>
    </w:p>
    <w:p w14:paraId="411759F5">
      <w:pPr>
        <w:shd w:val="clear" w:color="auto" w:fill="FFFFFF"/>
        <w:jc w:val="both"/>
        <w:rPr>
          <w:sz w:val="28"/>
          <w:szCs w:val="28"/>
        </w:rPr>
      </w:pPr>
    </w:p>
    <w:p w14:paraId="1ED0B447">
      <w:pPr>
        <w:shd w:val="clear" w:color="auto" w:fill="FFFFFF"/>
        <w:ind w:firstLine="567"/>
        <w:jc w:val="center"/>
        <w:rPr>
          <w:b/>
          <w:bCs/>
          <w:sz w:val="28"/>
          <w:szCs w:val="28"/>
        </w:rPr>
      </w:pPr>
      <w:r>
        <w:rPr>
          <w:b/>
          <w:bCs/>
          <w:sz w:val="28"/>
          <w:szCs w:val="28"/>
        </w:rPr>
        <w:t>6.ОПРЕДЕЛЕНИЕ И НАГРАЖДЕНИЕ ПОБЕДИТЕЛЕЙ</w:t>
      </w:r>
    </w:p>
    <w:p w14:paraId="40DE6416">
      <w:pPr>
        <w:ind w:firstLine="540"/>
        <w:contextualSpacing/>
        <w:jc w:val="both"/>
        <w:rPr>
          <w:sz w:val="28"/>
          <w:szCs w:val="28"/>
        </w:rPr>
      </w:pPr>
      <w:r>
        <w:rPr>
          <w:sz w:val="28"/>
          <w:szCs w:val="28"/>
        </w:rPr>
        <w:t>Победителями мужского и женского чемпионатов РТ считаются участники, набравшие наибольшее количество очков. При равенстве очков сравниваются последовательно: 1) личная встреча; 2)</w:t>
      </w:r>
      <w:r>
        <w:rPr>
          <w:sz w:val="28"/>
          <w:szCs w:val="28"/>
          <w:lang w:eastAsia="en-US"/>
        </w:rPr>
        <w:t xml:space="preserve"> коэффициент Зоннеборна-Бергера</w:t>
      </w:r>
      <w:r>
        <w:rPr>
          <w:sz w:val="28"/>
          <w:szCs w:val="28"/>
        </w:rPr>
        <w:t>, 3) большее число побед; 4)система Койя, 5) число партий, сыгранных черными фигурами (несыгранные партии считаются как «игранные» белыми фигурами); 6) средний российский рейтинг соперников.</w:t>
      </w:r>
    </w:p>
    <w:p w14:paraId="5A207472">
      <w:pPr>
        <w:pStyle w:val="19"/>
        <w:ind w:firstLine="540"/>
        <w:contextualSpacing/>
        <w:jc w:val="both"/>
        <w:rPr>
          <w:sz w:val="28"/>
          <w:szCs w:val="28"/>
        </w:rPr>
      </w:pPr>
      <w:r>
        <w:rPr>
          <w:sz w:val="28"/>
          <w:szCs w:val="28"/>
        </w:rPr>
        <w:t xml:space="preserve">В </w:t>
      </w:r>
      <w:r>
        <w:rPr>
          <w:b/>
          <w:bCs/>
          <w:sz w:val="28"/>
          <w:szCs w:val="28"/>
        </w:rPr>
        <w:t>открытом турнире</w:t>
      </w:r>
      <w:r>
        <w:rPr>
          <w:sz w:val="28"/>
          <w:szCs w:val="28"/>
        </w:rPr>
        <w:t xml:space="preserve"> места распределяются по наибольшей сумме набранных очков. При равенстве очков сравниваются последовательно:1) усеченный коэф. Бухгольца, 2) коэф. Бухгольца, 3) количество побед, 4) личная встреча, 5)число партий, сыгранных черными фигурами (несыгранные партии считаются как «игранные» белыми фигурами), 6)средний российский рейтинг соперников.</w:t>
      </w:r>
    </w:p>
    <w:p w14:paraId="176D4C8A">
      <w:pPr>
        <w:shd w:val="clear" w:color="auto" w:fill="FFFFFF"/>
        <w:ind w:firstLine="540"/>
        <w:contextualSpacing/>
        <w:jc w:val="both"/>
        <w:rPr>
          <w:sz w:val="28"/>
          <w:szCs w:val="28"/>
        </w:rPr>
      </w:pPr>
      <w:r>
        <w:rPr>
          <w:sz w:val="28"/>
          <w:szCs w:val="28"/>
        </w:rPr>
        <w:t xml:space="preserve">Участники, занявшие 1-3 места в каждом из турниров, награждаются дипломами, медалями и кубками. </w:t>
      </w:r>
    </w:p>
    <w:p w14:paraId="759C2E70">
      <w:pPr>
        <w:shd w:val="clear" w:color="auto" w:fill="FFFFFF"/>
        <w:ind w:firstLine="540"/>
        <w:contextualSpacing/>
        <w:jc w:val="both"/>
        <w:rPr>
          <w:sz w:val="28"/>
          <w:szCs w:val="28"/>
        </w:rPr>
      </w:pPr>
      <w:r>
        <w:rPr>
          <w:sz w:val="28"/>
          <w:szCs w:val="28"/>
        </w:rPr>
        <w:t xml:space="preserve">Дополнительные призы в </w:t>
      </w:r>
      <w:r>
        <w:rPr>
          <w:b/>
          <w:sz w:val="28"/>
          <w:szCs w:val="28"/>
        </w:rPr>
        <w:t>О</w:t>
      </w:r>
      <w:r>
        <w:rPr>
          <w:b/>
          <w:bCs/>
          <w:sz w:val="28"/>
          <w:szCs w:val="28"/>
        </w:rPr>
        <w:t xml:space="preserve">ткрытом турнире </w:t>
      </w:r>
      <w:r>
        <w:rPr>
          <w:sz w:val="28"/>
          <w:szCs w:val="28"/>
        </w:rPr>
        <w:t>устанавливаются:</w:t>
      </w:r>
    </w:p>
    <w:p w14:paraId="08A98B74">
      <w:pPr>
        <w:shd w:val="clear" w:color="auto" w:fill="FFFFFF"/>
        <w:ind w:firstLine="540"/>
        <w:contextualSpacing/>
        <w:jc w:val="both"/>
        <w:rPr>
          <w:sz w:val="28"/>
          <w:szCs w:val="28"/>
        </w:rPr>
      </w:pPr>
      <w:r>
        <w:rPr>
          <w:sz w:val="28"/>
          <w:szCs w:val="28"/>
        </w:rPr>
        <w:t>-лучшим ветеранам 1966 г.р. и старше;</w:t>
      </w:r>
    </w:p>
    <w:p w14:paraId="6AC6C2D0">
      <w:pPr>
        <w:shd w:val="clear" w:color="auto" w:fill="FFFFFF"/>
        <w:ind w:firstLine="540"/>
        <w:contextualSpacing/>
        <w:jc w:val="both"/>
        <w:rPr>
          <w:sz w:val="28"/>
          <w:szCs w:val="28"/>
        </w:rPr>
      </w:pPr>
      <w:r>
        <w:rPr>
          <w:sz w:val="28"/>
          <w:szCs w:val="28"/>
        </w:rPr>
        <w:t>-лучшим женщинам;</w:t>
      </w:r>
    </w:p>
    <w:p w14:paraId="25F3FCA5">
      <w:pPr>
        <w:shd w:val="clear" w:color="auto" w:fill="FFFFFF"/>
        <w:ind w:firstLine="540"/>
        <w:contextualSpacing/>
        <w:jc w:val="both"/>
        <w:rPr>
          <w:sz w:val="28"/>
          <w:szCs w:val="28"/>
        </w:rPr>
      </w:pPr>
      <w:r>
        <w:rPr>
          <w:sz w:val="28"/>
          <w:szCs w:val="28"/>
        </w:rPr>
        <w:t>-лучшим шахматистам из городов и сельских районов РТ (кроме Казани).</w:t>
      </w:r>
    </w:p>
    <w:p w14:paraId="5656E9EE">
      <w:pPr>
        <w:shd w:val="clear" w:color="auto" w:fill="FFFFFF"/>
        <w:ind w:firstLine="540"/>
        <w:contextualSpacing/>
        <w:jc w:val="both"/>
        <w:rPr>
          <w:sz w:val="28"/>
          <w:szCs w:val="28"/>
        </w:rPr>
      </w:pPr>
      <w:r>
        <w:rPr>
          <w:sz w:val="28"/>
          <w:szCs w:val="28"/>
        </w:rPr>
        <w:t>Все собранные вступительные взносы поступают в призовой фонд соревнования.</w:t>
      </w:r>
    </w:p>
    <w:p w14:paraId="2C6769F0">
      <w:pPr>
        <w:shd w:val="clear" w:color="auto" w:fill="FFFFFF"/>
        <w:ind w:firstLine="540"/>
        <w:contextualSpacing/>
        <w:jc w:val="both"/>
        <w:rPr>
          <w:sz w:val="28"/>
          <w:szCs w:val="28"/>
        </w:rPr>
      </w:pPr>
      <w:r>
        <w:rPr>
          <w:sz w:val="28"/>
          <w:szCs w:val="28"/>
        </w:rPr>
        <w:t>Призовой фонд формируется из средств федерации и вступительных взносов участников и составляет не менее 770000(Семьсот семьдесят тысяч рублей):</w:t>
      </w:r>
    </w:p>
    <w:p w14:paraId="3AA6621C">
      <w:pPr>
        <w:shd w:val="clear" w:color="auto" w:fill="FFFFFF"/>
        <w:ind w:firstLine="540"/>
        <w:contextualSpacing/>
        <w:jc w:val="both"/>
        <w:rPr>
          <w:sz w:val="28"/>
          <w:szCs w:val="28"/>
        </w:rPr>
      </w:pPr>
      <w:r>
        <w:rPr>
          <w:sz w:val="28"/>
          <w:szCs w:val="28"/>
          <w:highlight w:val="none"/>
        </w:rPr>
        <w:t>400.000 руб.- мужчины, 270.000 руб. – женщины; 100.000 руб. – открытый турнир</w:t>
      </w:r>
      <w:r>
        <w:rPr>
          <w:sz w:val="28"/>
          <w:szCs w:val="28"/>
        </w:rPr>
        <w:t>.</w:t>
      </w:r>
    </w:p>
    <w:p w14:paraId="7F397B0E">
      <w:pPr>
        <w:shd w:val="clear" w:color="auto" w:fill="FFFFFF"/>
        <w:ind w:firstLine="540"/>
        <w:contextualSpacing/>
        <w:jc w:val="both"/>
        <w:rPr>
          <w:sz w:val="28"/>
          <w:szCs w:val="28"/>
        </w:rPr>
      </w:pPr>
      <w:r>
        <w:rPr>
          <w:sz w:val="28"/>
          <w:szCs w:val="28"/>
        </w:rPr>
        <w:t>Призы не делятся. Участник может получить только один при</w:t>
      </w:r>
      <w:bookmarkStart w:id="2" w:name="_GoBack"/>
      <w:bookmarkEnd w:id="2"/>
      <w:r>
        <w:rPr>
          <w:sz w:val="28"/>
          <w:szCs w:val="28"/>
        </w:rPr>
        <w:t>з.</w:t>
      </w:r>
    </w:p>
    <w:p w14:paraId="7B861B71">
      <w:pPr>
        <w:shd w:val="clear" w:color="auto" w:fill="FFFFFF"/>
        <w:ind w:firstLine="540"/>
        <w:contextualSpacing/>
        <w:jc w:val="both"/>
        <w:rPr>
          <w:b/>
          <w:sz w:val="28"/>
          <w:szCs w:val="28"/>
        </w:rPr>
      </w:pPr>
      <w:r>
        <w:rPr>
          <w:b/>
          <w:sz w:val="28"/>
          <w:szCs w:val="28"/>
        </w:rPr>
        <w:t>Призы выдаются участникам на церемонии закрытия соревнований и в дальнейшем не высылаются и не выдаются.</w:t>
      </w:r>
    </w:p>
    <w:p w14:paraId="00014750">
      <w:pPr>
        <w:shd w:val="clear" w:color="auto" w:fill="FFFFFF"/>
        <w:ind w:left="5" w:firstLine="540"/>
        <w:jc w:val="both"/>
        <w:rPr>
          <w:b/>
          <w:sz w:val="28"/>
          <w:szCs w:val="28"/>
        </w:rPr>
      </w:pPr>
    </w:p>
    <w:p w14:paraId="15D33F3A">
      <w:pPr>
        <w:shd w:val="clear" w:color="auto" w:fill="FFFFFF"/>
        <w:ind w:firstLine="567"/>
        <w:jc w:val="center"/>
        <w:rPr>
          <w:b/>
          <w:bCs/>
          <w:sz w:val="28"/>
          <w:szCs w:val="28"/>
        </w:rPr>
      </w:pPr>
      <w:r>
        <w:rPr>
          <w:b/>
          <w:sz w:val="28"/>
          <w:szCs w:val="28"/>
        </w:rPr>
        <w:t>7.</w:t>
      </w:r>
      <w:r>
        <w:rPr>
          <w:b/>
          <w:bCs/>
          <w:sz w:val="28"/>
          <w:szCs w:val="28"/>
        </w:rPr>
        <w:t>ФИНАНСОВЫЕУСЛОВИЯ</w:t>
      </w:r>
    </w:p>
    <w:p w14:paraId="44012096">
      <w:pPr>
        <w:shd w:val="clear" w:color="auto" w:fill="FFFFFF"/>
        <w:ind w:left="6" w:firstLine="539"/>
        <w:contextualSpacing/>
        <w:jc w:val="both"/>
        <w:rPr>
          <w:sz w:val="28"/>
          <w:szCs w:val="28"/>
        </w:rPr>
      </w:pPr>
      <w:r>
        <w:rPr>
          <w:sz w:val="28"/>
          <w:szCs w:val="28"/>
        </w:rPr>
        <w:t>Международные гроссмейстеры, международные мастера, участники с рейтингом ФИДЕ 2400 и больше, участницы с рейтингом ФИДЕ 2100 и больше обеспечиваются деньгами на питание на время соревнований за счет ФШ РТ.</w:t>
      </w:r>
    </w:p>
    <w:p w14:paraId="5CC94B62">
      <w:pPr>
        <w:shd w:val="clear" w:color="auto" w:fill="FFFFFF"/>
        <w:ind w:left="6" w:firstLine="539"/>
        <w:contextualSpacing/>
        <w:jc w:val="both"/>
        <w:rPr>
          <w:b/>
          <w:bCs/>
          <w:sz w:val="28"/>
          <w:szCs w:val="28"/>
        </w:rPr>
      </w:pPr>
      <w:r>
        <w:rPr>
          <w:sz w:val="28"/>
          <w:szCs w:val="28"/>
        </w:rPr>
        <w:t>Все остальные расходы, связанные с участием в соревнованиях (проезд, суточные, питание, размещение, вступительный взнос), несут командирующие организации. Расходы по оплате работы судейской коллегии и обслуживающего персонала осуществляется за  счет  средств ФШ РТ.</w:t>
      </w:r>
    </w:p>
    <w:p w14:paraId="34DD102F">
      <w:pPr>
        <w:shd w:val="clear" w:color="auto" w:fill="FFFFFF"/>
        <w:spacing w:before="278"/>
        <w:ind w:firstLine="567"/>
        <w:jc w:val="center"/>
        <w:rPr>
          <w:b/>
          <w:bCs/>
          <w:sz w:val="28"/>
          <w:szCs w:val="28"/>
        </w:rPr>
      </w:pPr>
      <w:r>
        <w:rPr>
          <w:b/>
          <w:bCs/>
          <w:sz w:val="28"/>
          <w:szCs w:val="28"/>
        </w:rPr>
        <w:t>8.РАЗМЕЩЕНИЕ</w:t>
      </w:r>
    </w:p>
    <w:p w14:paraId="14C6F008">
      <w:pPr>
        <w:pStyle w:val="18"/>
        <w:ind w:firstLine="567"/>
        <w:contextualSpacing/>
        <w:jc w:val="both"/>
        <w:rPr>
          <w:rFonts w:ascii="Times New Roman" w:hAnsi="Times New Roman"/>
          <w:sz w:val="28"/>
          <w:szCs w:val="28"/>
        </w:rPr>
      </w:pPr>
      <w:r>
        <w:rPr>
          <w:rFonts w:ascii="Times New Roman" w:hAnsi="Times New Roman"/>
          <w:sz w:val="28"/>
          <w:szCs w:val="28"/>
        </w:rPr>
        <w:t>По вопросам проживания иногородних участников обращаться в организационный комитет. Тел. для справок:89033886157.</w:t>
      </w:r>
    </w:p>
    <w:p w14:paraId="3A9C28A6">
      <w:pPr>
        <w:pStyle w:val="18"/>
        <w:ind w:firstLine="567"/>
        <w:contextualSpacing/>
        <w:jc w:val="both"/>
        <w:rPr>
          <w:rFonts w:ascii="Times New Roman" w:hAnsi="Times New Roman"/>
          <w:sz w:val="28"/>
          <w:szCs w:val="28"/>
        </w:rPr>
      </w:pPr>
    </w:p>
    <w:p w14:paraId="6AF185A4">
      <w:pPr>
        <w:ind w:firstLine="567"/>
        <w:jc w:val="center"/>
        <w:rPr>
          <w:b/>
          <w:bCs/>
          <w:sz w:val="28"/>
          <w:szCs w:val="28"/>
        </w:rPr>
      </w:pPr>
      <w:r>
        <w:rPr>
          <w:b/>
          <w:bCs/>
          <w:sz w:val="28"/>
          <w:szCs w:val="28"/>
        </w:rPr>
        <w:t>9.ЗАЯВКИ</w:t>
      </w:r>
    </w:p>
    <w:p w14:paraId="218A0B62">
      <w:pPr>
        <w:shd w:val="clear" w:color="auto" w:fill="FFFFFF"/>
        <w:ind w:firstLine="567"/>
        <w:contextualSpacing/>
        <w:jc w:val="both"/>
        <w:rPr>
          <w:sz w:val="28"/>
          <w:szCs w:val="28"/>
        </w:rPr>
      </w:pPr>
      <w:r>
        <w:rPr>
          <w:sz w:val="28"/>
          <w:szCs w:val="28"/>
        </w:rPr>
        <w:t xml:space="preserve">Заявки, заверенные врачом и копии квитанций представляются в </w:t>
      </w:r>
      <w:r>
        <w:rPr>
          <w:bCs/>
          <w:sz w:val="28"/>
          <w:szCs w:val="28"/>
        </w:rPr>
        <w:t xml:space="preserve">оф.47 ФШРТ или по электронной почте </w:t>
      </w:r>
      <w:r>
        <w:fldChar w:fldCharType="begin"/>
      </w:r>
      <w:r>
        <w:instrText xml:space="preserve"> HYPERLINK "mailto:tat-chess@mail.ru" </w:instrText>
      </w:r>
      <w:r>
        <w:fldChar w:fldCharType="separate"/>
      </w:r>
      <w:r>
        <w:rPr>
          <w:rStyle w:val="8"/>
          <w:sz w:val="28"/>
          <w:szCs w:val="28"/>
        </w:rPr>
        <w:t>tat-chess@mail.ru</w:t>
      </w:r>
      <w:r>
        <w:rPr>
          <w:rStyle w:val="8"/>
          <w:sz w:val="28"/>
          <w:szCs w:val="28"/>
        </w:rPr>
        <w:fldChar w:fldCharType="end"/>
      </w:r>
      <w:r>
        <w:rPr>
          <w:sz w:val="28"/>
          <w:szCs w:val="28"/>
        </w:rPr>
        <w:t>до 1 декабря 2026 г.</w:t>
      </w:r>
    </w:p>
    <w:p w14:paraId="731C9065">
      <w:pPr>
        <w:shd w:val="clear" w:color="auto" w:fill="FFFFFF"/>
        <w:ind w:right="-1" w:firstLine="567"/>
        <w:jc w:val="both"/>
        <w:rPr>
          <w:sz w:val="28"/>
          <w:szCs w:val="28"/>
        </w:rPr>
      </w:pPr>
    </w:p>
    <w:p w14:paraId="5378E4DA">
      <w:pPr>
        <w:pStyle w:val="5"/>
        <w:ind w:left="927"/>
        <w:jc w:val="center"/>
        <w:rPr>
          <w:b/>
          <w:sz w:val="28"/>
          <w:szCs w:val="28"/>
        </w:rPr>
      </w:pPr>
      <w:r>
        <w:rPr>
          <w:b/>
          <w:sz w:val="28"/>
          <w:szCs w:val="28"/>
        </w:rPr>
        <w:t>10.ПОВЕДЕНИЕ ИГРОКОВ И ОБЕСПЕЧЕНИЕ БЕЗОПАСНОСТИ УЧАСТНИКОВ И ЗРИТЕЛЕЙ</w:t>
      </w:r>
    </w:p>
    <w:p w14:paraId="21EF7804">
      <w:pPr>
        <w:pStyle w:val="5"/>
        <w:ind w:firstLine="539"/>
        <w:contextualSpacing/>
        <w:jc w:val="both"/>
        <w:rPr>
          <w:sz w:val="28"/>
          <w:szCs w:val="28"/>
        </w:rPr>
      </w:pPr>
      <w:r>
        <w:rPr>
          <w:sz w:val="28"/>
          <w:szCs w:val="28"/>
        </w:rPr>
        <w:t>Не допускается поведение участников, нарушающее основные требования правил шахмат и наносящие вред имиджу шахматной игры. За действия, дискредитирующие шахматы (хулиганство, пьянство, неуважительное отношение к сопернику и т.п.) организаторы и судейская коллегия могут применить меры наказания вплоть до исключения нарушителя из турнира.</w:t>
      </w:r>
    </w:p>
    <w:p w14:paraId="7DB00842">
      <w:pPr>
        <w:widowControl/>
        <w:autoSpaceDE/>
        <w:autoSpaceDN/>
        <w:adjustRightInd/>
        <w:ind w:firstLine="567"/>
        <w:jc w:val="both"/>
        <w:rPr>
          <w:sz w:val="28"/>
          <w:szCs w:val="22"/>
          <w:lang w:eastAsia="en-US"/>
        </w:rPr>
      </w:pPr>
      <w:r>
        <w:rPr>
          <w:sz w:val="28"/>
          <w:szCs w:val="22"/>
          <w:lang w:eastAsia="en-US"/>
        </w:rPr>
        <w:t>Обеспечение безопасности участников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18.04.2014 № 353.</w:t>
      </w:r>
    </w:p>
    <w:p w14:paraId="3CA01B71">
      <w:pPr>
        <w:pStyle w:val="5"/>
        <w:ind w:firstLine="539"/>
        <w:contextualSpacing/>
        <w:jc w:val="both"/>
        <w:rPr>
          <w:sz w:val="28"/>
          <w:szCs w:val="28"/>
        </w:rPr>
      </w:pPr>
    </w:p>
    <w:p w14:paraId="66308950">
      <w:pPr>
        <w:pStyle w:val="12"/>
        <w:ind w:firstLine="540"/>
        <w:jc w:val="center"/>
      </w:pPr>
      <w:r>
        <w:t xml:space="preserve">ДАННОЕ ПОЛОЖЕНИЕ ЯВЛЯЕТСЯ ОФИЦИАЛЬНЫМ             </w:t>
      </w:r>
    </w:p>
    <w:p w14:paraId="7B1DE18C">
      <w:pPr>
        <w:pStyle w:val="12"/>
        <w:ind w:firstLine="540"/>
        <w:jc w:val="center"/>
      </w:pPr>
      <w:r>
        <w:t>ВЫЗОВОМ   НА СОРЕВНОВАНИЯ.</w:t>
      </w:r>
    </w:p>
    <w:sectPr>
      <w:footerReference r:id="rId3" w:type="default"/>
      <w:footerReference r:id="rId4" w:type="even"/>
      <w:pgSz w:w="11906" w:h="16838"/>
      <w:pgMar w:top="284" w:right="567" w:bottom="284" w:left="85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267E5">
    <w:pPr>
      <w:pStyle w:val="7"/>
      <w:framePr w:wrap="around" w:vAnchor="text" w:hAnchor="margin" w:xAlign="right" w:y="1"/>
      <w:rPr>
        <w:rStyle w:val="9"/>
      </w:rPr>
    </w:pPr>
    <w:r>
      <w:rPr>
        <w:rStyle w:val="9"/>
      </w:rPr>
      <w:fldChar w:fldCharType="begin"/>
    </w:r>
    <w:r>
      <w:rPr>
        <w:rStyle w:val="9"/>
      </w:rPr>
      <w:instrText xml:space="preserve">PAGE  </w:instrText>
    </w:r>
    <w:r>
      <w:rPr>
        <w:rStyle w:val="9"/>
      </w:rPr>
      <w:fldChar w:fldCharType="separate"/>
    </w:r>
    <w:r>
      <w:rPr>
        <w:rStyle w:val="9"/>
      </w:rPr>
      <w:t>1</w:t>
    </w:r>
    <w:r>
      <w:rPr>
        <w:rStyle w:val="9"/>
      </w:rPr>
      <w:fldChar w:fldCharType="end"/>
    </w:r>
  </w:p>
  <w:p w14:paraId="14A54AEA">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822B1">
    <w:pPr>
      <w:pStyle w:val="7"/>
      <w:framePr w:wrap="around" w:vAnchor="text" w:hAnchor="margin" w:xAlign="right" w:y="1"/>
      <w:rPr>
        <w:rStyle w:val="9"/>
      </w:rPr>
    </w:pPr>
    <w:r>
      <w:rPr>
        <w:rStyle w:val="9"/>
      </w:rPr>
      <w:fldChar w:fldCharType="begin"/>
    </w:r>
    <w:r>
      <w:rPr>
        <w:rStyle w:val="9"/>
      </w:rPr>
      <w:instrText xml:space="preserve">PAGE  </w:instrText>
    </w:r>
    <w:r>
      <w:rPr>
        <w:rStyle w:val="9"/>
      </w:rPr>
      <w:fldChar w:fldCharType="end"/>
    </w:r>
  </w:p>
  <w:p w14:paraId="2BC26E8D">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E"/>
    <w:multiLevelType w:val="singleLevel"/>
    <w:tmpl w:val="FFFFFFFE"/>
    <w:lvl w:ilvl="0" w:tentative="0">
      <w:start w:val="0"/>
      <w:numFmt w:val="bullet"/>
      <w:lvlText w:val="*"/>
      <w:lvlJc w:val="left"/>
    </w:lvl>
  </w:abstractNum>
  <w:num w:numId="1">
    <w:abstractNumId w:val="0"/>
    <w:lvlOverride w:ilvl="0">
      <w:lvl w:ilvl="0" w:tentative="1">
        <w:start w:val="0"/>
        <w:numFmt w:val="bullet"/>
        <w:lvlText w:val="•"/>
        <w:legacy w:legacy="1" w:legacySpace="0" w:legacyIndent="336"/>
        <w:lvlJc w:val="left"/>
        <w:rPr>
          <w:rFonts w:hint="default" w:ascii="Times New Roman" w:hAnsi="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compatSetting w:name="compatibilityMode" w:uri="http://schemas.microsoft.com/office/word" w:val="12"/>
  </w:compat>
  <w:rsids>
    <w:rsidRoot w:val="003A3827"/>
    <w:rsid w:val="000105A0"/>
    <w:rsid w:val="00010BAF"/>
    <w:rsid w:val="00011606"/>
    <w:rsid w:val="00015582"/>
    <w:rsid w:val="000172F9"/>
    <w:rsid w:val="00022DBA"/>
    <w:rsid w:val="00030B35"/>
    <w:rsid w:val="000321D0"/>
    <w:rsid w:val="00043567"/>
    <w:rsid w:val="0005047D"/>
    <w:rsid w:val="00051C89"/>
    <w:rsid w:val="00052D00"/>
    <w:rsid w:val="0005413C"/>
    <w:rsid w:val="00054F77"/>
    <w:rsid w:val="00077AE8"/>
    <w:rsid w:val="00087366"/>
    <w:rsid w:val="00091174"/>
    <w:rsid w:val="000A4FC0"/>
    <w:rsid w:val="000B0C5B"/>
    <w:rsid w:val="000B1DEF"/>
    <w:rsid w:val="000C14DA"/>
    <w:rsid w:val="000C2D67"/>
    <w:rsid w:val="000E0B5B"/>
    <w:rsid w:val="000F20E8"/>
    <w:rsid w:val="000F2207"/>
    <w:rsid w:val="00102EEC"/>
    <w:rsid w:val="00106F62"/>
    <w:rsid w:val="00110A5A"/>
    <w:rsid w:val="0011285C"/>
    <w:rsid w:val="00116319"/>
    <w:rsid w:val="00123EEE"/>
    <w:rsid w:val="00125536"/>
    <w:rsid w:val="001275C7"/>
    <w:rsid w:val="0013103D"/>
    <w:rsid w:val="0013125F"/>
    <w:rsid w:val="0013240F"/>
    <w:rsid w:val="001451CB"/>
    <w:rsid w:val="001531EE"/>
    <w:rsid w:val="00156C99"/>
    <w:rsid w:val="00170BE7"/>
    <w:rsid w:val="00186270"/>
    <w:rsid w:val="00187A95"/>
    <w:rsid w:val="00193DBD"/>
    <w:rsid w:val="001A06FB"/>
    <w:rsid w:val="001A4B8E"/>
    <w:rsid w:val="001A68B8"/>
    <w:rsid w:val="001B3D0E"/>
    <w:rsid w:val="001D15DF"/>
    <w:rsid w:val="001D7822"/>
    <w:rsid w:val="001E2A05"/>
    <w:rsid w:val="001E6A9B"/>
    <w:rsid w:val="002035DA"/>
    <w:rsid w:val="0020511A"/>
    <w:rsid w:val="002114C7"/>
    <w:rsid w:val="00213036"/>
    <w:rsid w:val="002240A5"/>
    <w:rsid w:val="00227E60"/>
    <w:rsid w:val="00236940"/>
    <w:rsid w:val="00252F38"/>
    <w:rsid w:val="00261B41"/>
    <w:rsid w:val="00262D79"/>
    <w:rsid w:val="00270DE1"/>
    <w:rsid w:val="00273912"/>
    <w:rsid w:val="002750FC"/>
    <w:rsid w:val="00281EBF"/>
    <w:rsid w:val="002B2D6B"/>
    <w:rsid w:val="002B30F3"/>
    <w:rsid w:val="002C60D4"/>
    <w:rsid w:val="002C6EAF"/>
    <w:rsid w:val="002C7A07"/>
    <w:rsid w:val="002D1456"/>
    <w:rsid w:val="002D31D0"/>
    <w:rsid w:val="002D4577"/>
    <w:rsid w:val="0030688D"/>
    <w:rsid w:val="0031185F"/>
    <w:rsid w:val="00312C99"/>
    <w:rsid w:val="00316E6F"/>
    <w:rsid w:val="003245F7"/>
    <w:rsid w:val="00324BA0"/>
    <w:rsid w:val="00325160"/>
    <w:rsid w:val="00340775"/>
    <w:rsid w:val="00345AC0"/>
    <w:rsid w:val="00351A16"/>
    <w:rsid w:val="00352189"/>
    <w:rsid w:val="003545C3"/>
    <w:rsid w:val="00356707"/>
    <w:rsid w:val="003740CE"/>
    <w:rsid w:val="00374A7F"/>
    <w:rsid w:val="003812AB"/>
    <w:rsid w:val="003822B0"/>
    <w:rsid w:val="00387398"/>
    <w:rsid w:val="00392828"/>
    <w:rsid w:val="00396292"/>
    <w:rsid w:val="003A3827"/>
    <w:rsid w:val="003A4D93"/>
    <w:rsid w:val="003B4928"/>
    <w:rsid w:val="003D5077"/>
    <w:rsid w:val="003D694C"/>
    <w:rsid w:val="003E0A33"/>
    <w:rsid w:val="003E128B"/>
    <w:rsid w:val="003E18CA"/>
    <w:rsid w:val="003F1457"/>
    <w:rsid w:val="003F3FAC"/>
    <w:rsid w:val="00401D68"/>
    <w:rsid w:val="00402AFA"/>
    <w:rsid w:val="00403D49"/>
    <w:rsid w:val="00406832"/>
    <w:rsid w:val="0041203B"/>
    <w:rsid w:val="00412971"/>
    <w:rsid w:val="00414164"/>
    <w:rsid w:val="0041427C"/>
    <w:rsid w:val="00414918"/>
    <w:rsid w:val="00416251"/>
    <w:rsid w:val="00421EFB"/>
    <w:rsid w:val="0042417A"/>
    <w:rsid w:val="00427CD2"/>
    <w:rsid w:val="00433351"/>
    <w:rsid w:val="0043363F"/>
    <w:rsid w:val="004342AD"/>
    <w:rsid w:val="004354CA"/>
    <w:rsid w:val="00437603"/>
    <w:rsid w:val="004426D6"/>
    <w:rsid w:val="00444C04"/>
    <w:rsid w:val="00451A43"/>
    <w:rsid w:val="004608E5"/>
    <w:rsid w:val="00462C54"/>
    <w:rsid w:val="00472C50"/>
    <w:rsid w:val="004804DC"/>
    <w:rsid w:val="00485AA6"/>
    <w:rsid w:val="00487FE4"/>
    <w:rsid w:val="004920B6"/>
    <w:rsid w:val="004920EC"/>
    <w:rsid w:val="00492750"/>
    <w:rsid w:val="004B4489"/>
    <w:rsid w:val="004B58F2"/>
    <w:rsid w:val="004C0097"/>
    <w:rsid w:val="004C1689"/>
    <w:rsid w:val="004C5E0B"/>
    <w:rsid w:val="004C6BB5"/>
    <w:rsid w:val="004D31FD"/>
    <w:rsid w:val="004D3241"/>
    <w:rsid w:val="004D6CEC"/>
    <w:rsid w:val="004E1CA0"/>
    <w:rsid w:val="004F1418"/>
    <w:rsid w:val="004F7E60"/>
    <w:rsid w:val="005113EF"/>
    <w:rsid w:val="00531427"/>
    <w:rsid w:val="005339A7"/>
    <w:rsid w:val="00542FD4"/>
    <w:rsid w:val="00553B03"/>
    <w:rsid w:val="005633C7"/>
    <w:rsid w:val="0057731D"/>
    <w:rsid w:val="00580095"/>
    <w:rsid w:val="005822A9"/>
    <w:rsid w:val="00583E19"/>
    <w:rsid w:val="00587847"/>
    <w:rsid w:val="00587936"/>
    <w:rsid w:val="005A2871"/>
    <w:rsid w:val="005A66C5"/>
    <w:rsid w:val="005A770A"/>
    <w:rsid w:val="005B0241"/>
    <w:rsid w:val="005B4024"/>
    <w:rsid w:val="0060149A"/>
    <w:rsid w:val="006143D7"/>
    <w:rsid w:val="00620E55"/>
    <w:rsid w:val="00634D2C"/>
    <w:rsid w:val="0067059F"/>
    <w:rsid w:val="00671612"/>
    <w:rsid w:val="00672138"/>
    <w:rsid w:val="00674FF0"/>
    <w:rsid w:val="00682864"/>
    <w:rsid w:val="00684C99"/>
    <w:rsid w:val="0068668F"/>
    <w:rsid w:val="00686FED"/>
    <w:rsid w:val="0069233B"/>
    <w:rsid w:val="00694632"/>
    <w:rsid w:val="006961F8"/>
    <w:rsid w:val="006977B4"/>
    <w:rsid w:val="006B378B"/>
    <w:rsid w:val="006B684F"/>
    <w:rsid w:val="006C2881"/>
    <w:rsid w:val="006C606B"/>
    <w:rsid w:val="006C7946"/>
    <w:rsid w:val="006D3054"/>
    <w:rsid w:val="006D7B6F"/>
    <w:rsid w:val="006E178B"/>
    <w:rsid w:val="006F4AD0"/>
    <w:rsid w:val="007017A0"/>
    <w:rsid w:val="0071651D"/>
    <w:rsid w:val="0072332D"/>
    <w:rsid w:val="00734A72"/>
    <w:rsid w:val="007502A7"/>
    <w:rsid w:val="007503E9"/>
    <w:rsid w:val="00756261"/>
    <w:rsid w:val="0076027A"/>
    <w:rsid w:val="0076647D"/>
    <w:rsid w:val="00771645"/>
    <w:rsid w:val="00781FF6"/>
    <w:rsid w:val="00785A7C"/>
    <w:rsid w:val="00787011"/>
    <w:rsid w:val="007921E8"/>
    <w:rsid w:val="00792EA3"/>
    <w:rsid w:val="00795873"/>
    <w:rsid w:val="0079623C"/>
    <w:rsid w:val="007A0D18"/>
    <w:rsid w:val="007A3042"/>
    <w:rsid w:val="007B0D33"/>
    <w:rsid w:val="007B67AF"/>
    <w:rsid w:val="007C35AC"/>
    <w:rsid w:val="007C3C15"/>
    <w:rsid w:val="007C3E5D"/>
    <w:rsid w:val="007C7FA4"/>
    <w:rsid w:val="007D0593"/>
    <w:rsid w:val="007F17F4"/>
    <w:rsid w:val="00807DCA"/>
    <w:rsid w:val="008100F1"/>
    <w:rsid w:val="0081396F"/>
    <w:rsid w:val="00820AF8"/>
    <w:rsid w:val="00825D70"/>
    <w:rsid w:val="008336C7"/>
    <w:rsid w:val="00847E05"/>
    <w:rsid w:val="0085714B"/>
    <w:rsid w:val="0086646D"/>
    <w:rsid w:val="00885F30"/>
    <w:rsid w:val="008926D2"/>
    <w:rsid w:val="00894695"/>
    <w:rsid w:val="00895684"/>
    <w:rsid w:val="008B00D3"/>
    <w:rsid w:val="008B47F5"/>
    <w:rsid w:val="008B4D8C"/>
    <w:rsid w:val="008C34C5"/>
    <w:rsid w:val="008C4EFB"/>
    <w:rsid w:val="008D2C81"/>
    <w:rsid w:val="008D3B9B"/>
    <w:rsid w:val="008E6457"/>
    <w:rsid w:val="008F034D"/>
    <w:rsid w:val="008F7E82"/>
    <w:rsid w:val="00902404"/>
    <w:rsid w:val="009214F4"/>
    <w:rsid w:val="009254B9"/>
    <w:rsid w:val="009266DA"/>
    <w:rsid w:val="00935275"/>
    <w:rsid w:val="00945138"/>
    <w:rsid w:val="00955213"/>
    <w:rsid w:val="00972138"/>
    <w:rsid w:val="00974E39"/>
    <w:rsid w:val="00977FEA"/>
    <w:rsid w:val="009810A2"/>
    <w:rsid w:val="0098765B"/>
    <w:rsid w:val="00992ED6"/>
    <w:rsid w:val="00994994"/>
    <w:rsid w:val="00997BA0"/>
    <w:rsid w:val="009A2EBD"/>
    <w:rsid w:val="009B287E"/>
    <w:rsid w:val="009B3F2E"/>
    <w:rsid w:val="009B4C00"/>
    <w:rsid w:val="009C09B2"/>
    <w:rsid w:val="009C1349"/>
    <w:rsid w:val="009C67A4"/>
    <w:rsid w:val="009D3696"/>
    <w:rsid w:val="009E7F91"/>
    <w:rsid w:val="00A07E96"/>
    <w:rsid w:val="00A151CA"/>
    <w:rsid w:val="00A251C2"/>
    <w:rsid w:val="00A26201"/>
    <w:rsid w:val="00A346FA"/>
    <w:rsid w:val="00A36E89"/>
    <w:rsid w:val="00A42E23"/>
    <w:rsid w:val="00A5069A"/>
    <w:rsid w:val="00A513ED"/>
    <w:rsid w:val="00A54A31"/>
    <w:rsid w:val="00A6214C"/>
    <w:rsid w:val="00A6224D"/>
    <w:rsid w:val="00A633AA"/>
    <w:rsid w:val="00A64261"/>
    <w:rsid w:val="00A66F8D"/>
    <w:rsid w:val="00A764B5"/>
    <w:rsid w:val="00A90FBB"/>
    <w:rsid w:val="00A94234"/>
    <w:rsid w:val="00A95300"/>
    <w:rsid w:val="00AA62CF"/>
    <w:rsid w:val="00AB1470"/>
    <w:rsid w:val="00AB45B2"/>
    <w:rsid w:val="00AC1DE3"/>
    <w:rsid w:val="00AD00BA"/>
    <w:rsid w:val="00AD061A"/>
    <w:rsid w:val="00AD09ED"/>
    <w:rsid w:val="00AD5115"/>
    <w:rsid w:val="00AD7F74"/>
    <w:rsid w:val="00AE1C80"/>
    <w:rsid w:val="00AE5DED"/>
    <w:rsid w:val="00AF0857"/>
    <w:rsid w:val="00B025DC"/>
    <w:rsid w:val="00B10592"/>
    <w:rsid w:val="00B1107C"/>
    <w:rsid w:val="00B112B6"/>
    <w:rsid w:val="00B13AEE"/>
    <w:rsid w:val="00B20401"/>
    <w:rsid w:val="00B27517"/>
    <w:rsid w:val="00B32AC7"/>
    <w:rsid w:val="00B36B86"/>
    <w:rsid w:val="00B501F9"/>
    <w:rsid w:val="00B73800"/>
    <w:rsid w:val="00B86296"/>
    <w:rsid w:val="00B924ED"/>
    <w:rsid w:val="00BA3FDA"/>
    <w:rsid w:val="00BA50FF"/>
    <w:rsid w:val="00BA5935"/>
    <w:rsid w:val="00BB6F5F"/>
    <w:rsid w:val="00BE035F"/>
    <w:rsid w:val="00BE75BC"/>
    <w:rsid w:val="00BF3C93"/>
    <w:rsid w:val="00BF4B42"/>
    <w:rsid w:val="00C03590"/>
    <w:rsid w:val="00C215DA"/>
    <w:rsid w:val="00C40583"/>
    <w:rsid w:val="00C46EBB"/>
    <w:rsid w:val="00C5181B"/>
    <w:rsid w:val="00C51B55"/>
    <w:rsid w:val="00C65122"/>
    <w:rsid w:val="00C72DD9"/>
    <w:rsid w:val="00C83DC2"/>
    <w:rsid w:val="00C95D1A"/>
    <w:rsid w:val="00CA185C"/>
    <w:rsid w:val="00CA6582"/>
    <w:rsid w:val="00CC187D"/>
    <w:rsid w:val="00CC30DA"/>
    <w:rsid w:val="00CD6025"/>
    <w:rsid w:val="00CF0C4F"/>
    <w:rsid w:val="00D13EA7"/>
    <w:rsid w:val="00D1669F"/>
    <w:rsid w:val="00D223FD"/>
    <w:rsid w:val="00D2698C"/>
    <w:rsid w:val="00D3000B"/>
    <w:rsid w:val="00D42058"/>
    <w:rsid w:val="00D47444"/>
    <w:rsid w:val="00D5208C"/>
    <w:rsid w:val="00D5291B"/>
    <w:rsid w:val="00D55821"/>
    <w:rsid w:val="00D72B56"/>
    <w:rsid w:val="00D7573B"/>
    <w:rsid w:val="00D84F24"/>
    <w:rsid w:val="00D9341A"/>
    <w:rsid w:val="00DA2E17"/>
    <w:rsid w:val="00DA34AD"/>
    <w:rsid w:val="00DA5874"/>
    <w:rsid w:val="00DB058C"/>
    <w:rsid w:val="00DC370F"/>
    <w:rsid w:val="00DD27CF"/>
    <w:rsid w:val="00DD3275"/>
    <w:rsid w:val="00DE3631"/>
    <w:rsid w:val="00DE789F"/>
    <w:rsid w:val="00DF374C"/>
    <w:rsid w:val="00E14F12"/>
    <w:rsid w:val="00E272C3"/>
    <w:rsid w:val="00E40209"/>
    <w:rsid w:val="00E41465"/>
    <w:rsid w:val="00E459B7"/>
    <w:rsid w:val="00E5277C"/>
    <w:rsid w:val="00E57AD0"/>
    <w:rsid w:val="00E64380"/>
    <w:rsid w:val="00E6660E"/>
    <w:rsid w:val="00E70782"/>
    <w:rsid w:val="00E715B2"/>
    <w:rsid w:val="00E71970"/>
    <w:rsid w:val="00E72A7A"/>
    <w:rsid w:val="00E72D51"/>
    <w:rsid w:val="00E84751"/>
    <w:rsid w:val="00EA0AA9"/>
    <w:rsid w:val="00EC2A95"/>
    <w:rsid w:val="00ED7307"/>
    <w:rsid w:val="00EE43BC"/>
    <w:rsid w:val="00EF1641"/>
    <w:rsid w:val="00F006C5"/>
    <w:rsid w:val="00F01A2F"/>
    <w:rsid w:val="00F17F6F"/>
    <w:rsid w:val="00F231FE"/>
    <w:rsid w:val="00F2366B"/>
    <w:rsid w:val="00F23934"/>
    <w:rsid w:val="00F24F92"/>
    <w:rsid w:val="00F25365"/>
    <w:rsid w:val="00F46973"/>
    <w:rsid w:val="00F56728"/>
    <w:rsid w:val="00F56DE5"/>
    <w:rsid w:val="00F641CB"/>
    <w:rsid w:val="00F7092B"/>
    <w:rsid w:val="00F72419"/>
    <w:rsid w:val="00F90F87"/>
    <w:rsid w:val="00F91FD8"/>
    <w:rsid w:val="00F92DA4"/>
    <w:rsid w:val="00F94434"/>
    <w:rsid w:val="00FA0971"/>
    <w:rsid w:val="00FA1936"/>
    <w:rsid w:val="00FC5AB2"/>
    <w:rsid w:val="00FD1FAB"/>
    <w:rsid w:val="00FF3FC7"/>
    <w:rsid w:val="31B44349"/>
  </w:rsids>
  <m:mathPr>
    <m:mathFont m:val="Cambria Math"/>
    <m:brkBin m:val="before"/>
    <m:brkBinSub m:val="--"/>
    <m:smallFrac m:val="1"/>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Times New Roman" w:hAnsi="Times New Roman" w:eastAsia="Calibri" w:cs="Times New Roman"/>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2"/>
    <w:basedOn w:val="1"/>
    <w:link w:val="15"/>
    <w:uiPriority w:val="99"/>
    <w:pPr>
      <w:spacing w:after="120" w:line="480" w:lineRule="auto"/>
    </w:pPr>
  </w:style>
  <w:style w:type="paragraph" w:styleId="5">
    <w:name w:val="Body Text Indent"/>
    <w:basedOn w:val="1"/>
    <w:link w:val="13"/>
    <w:semiHidden/>
    <w:qFormat/>
    <w:uiPriority w:val="99"/>
    <w:pPr>
      <w:widowControl/>
      <w:autoSpaceDE/>
      <w:autoSpaceDN/>
      <w:adjustRightInd/>
    </w:pPr>
    <w:rPr>
      <w:sz w:val="24"/>
    </w:rPr>
  </w:style>
  <w:style w:type="character" w:styleId="6">
    <w:name w:val="FollowedHyperlink"/>
    <w:basedOn w:val="2"/>
    <w:qFormat/>
    <w:uiPriority w:val="99"/>
    <w:rPr>
      <w:rFonts w:cs="Times New Roman"/>
      <w:color w:val="800080"/>
      <w:u w:val="single"/>
    </w:rPr>
  </w:style>
  <w:style w:type="paragraph" w:styleId="7">
    <w:name w:val="footer"/>
    <w:basedOn w:val="1"/>
    <w:link w:val="14"/>
    <w:uiPriority w:val="99"/>
    <w:pPr>
      <w:tabs>
        <w:tab w:val="center" w:pos="4677"/>
        <w:tab w:val="right" w:pos="9355"/>
      </w:tabs>
    </w:pPr>
  </w:style>
  <w:style w:type="character" w:styleId="8">
    <w:name w:val="Hyperlink"/>
    <w:basedOn w:val="2"/>
    <w:qFormat/>
    <w:uiPriority w:val="99"/>
    <w:rPr>
      <w:rFonts w:cs="Times New Roman"/>
      <w:color w:val="0000FF"/>
      <w:u w:val="single"/>
    </w:rPr>
  </w:style>
  <w:style w:type="character" w:styleId="9">
    <w:name w:val="page number"/>
    <w:basedOn w:val="2"/>
    <w:qFormat/>
    <w:uiPriority w:val="99"/>
    <w:rPr>
      <w:rFonts w:cs="Times New Roman"/>
    </w:rPr>
  </w:style>
  <w:style w:type="table" w:styleId="10">
    <w:name w:val="Table Grid"/>
    <w:basedOn w:val="3"/>
    <w:qFormat/>
    <w:uiPriority w:val="9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styleId="11">
    <w:name w:val="List Paragraph"/>
    <w:basedOn w:val="1"/>
    <w:qFormat/>
    <w:uiPriority w:val="99"/>
    <w:pPr>
      <w:ind w:left="720"/>
      <w:contextualSpacing/>
    </w:pPr>
  </w:style>
  <w:style w:type="paragraph" w:customStyle="1" w:styleId="12">
    <w:name w:val="Default"/>
    <w:qFormat/>
    <w:uiPriority w:val="99"/>
    <w:pPr>
      <w:autoSpaceDE w:val="0"/>
      <w:autoSpaceDN w:val="0"/>
      <w:adjustRightInd w:val="0"/>
    </w:pPr>
    <w:rPr>
      <w:rFonts w:ascii="Times New Roman" w:hAnsi="Times New Roman" w:eastAsia="Times New Roman" w:cs="Times New Roman"/>
      <w:color w:val="000000"/>
      <w:sz w:val="24"/>
      <w:szCs w:val="24"/>
      <w:lang w:val="ru-RU" w:eastAsia="ru-RU" w:bidi="ar-SA"/>
    </w:rPr>
  </w:style>
  <w:style w:type="character" w:customStyle="1" w:styleId="13">
    <w:name w:val="Основной текст с отступом Знак"/>
    <w:basedOn w:val="2"/>
    <w:link w:val="5"/>
    <w:semiHidden/>
    <w:qFormat/>
    <w:locked/>
    <w:uiPriority w:val="99"/>
    <w:rPr>
      <w:rFonts w:ascii="Times New Roman" w:hAnsi="Times New Roman" w:cs="Times New Roman"/>
      <w:sz w:val="20"/>
      <w:szCs w:val="20"/>
      <w:lang w:eastAsia="ru-RU"/>
    </w:rPr>
  </w:style>
  <w:style w:type="character" w:customStyle="1" w:styleId="14">
    <w:name w:val="Нижний колонтитул Знак"/>
    <w:basedOn w:val="2"/>
    <w:link w:val="7"/>
    <w:semiHidden/>
    <w:qFormat/>
    <w:uiPriority w:val="99"/>
    <w:rPr>
      <w:rFonts w:ascii="Times New Roman" w:hAnsi="Times New Roman"/>
      <w:sz w:val="20"/>
      <w:szCs w:val="20"/>
    </w:rPr>
  </w:style>
  <w:style w:type="character" w:customStyle="1" w:styleId="15">
    <w:name w:val="Основной текст 2 Знак"/>
    <w:basedOn w:val="2"/>
    <w:link w:val="4"/>
    <w:semiHidden/>
    <w:qFormat/>
    <w:uiPriority w:val="99"/>
    <w:rPr>
      <w:rFonts w:ascii="Times New Roman" w:hAnsi="Times New Roman"/>
      <w:sz w:val="20"/>
      <w:szCs w:val="20"/>
    </w:rPr>
  </w:style>
  <w:style w:type="paragraph" w:customStyle="1" w:styleId="16">
    <w:name w:val="Text body indent"/>
    <w:basedOn w:val="1"/>
    <w:uiPriority w:val="99"/>
    <w:pPr>
      <w:widowControl/>
      <w:suppressAutoHyphens/>
      <w:autoSpaceDE/>
      <w:adjustRightInd/>
      <w:ind w:left="283" w:firstLine="360"/>
      <w:textAlignment w:val="baseline"/>
    </w:pPr>
    <w:rPr>
      <w:rFonts w:eastAsia="SimSun"/>
      <w:kern w:val="3"/>
      <w:sz w:val="24"/>
      <w:szCs w:val="24"/>
    </w:rPr>
  </w:style>
  <w:style w:type="character" w:customStyle="1" w:styleId="17">
    <w:name w:val="Unresolved Mention"/>
    <w:basedOn w:val="2"/>
    <w:semiHidden/>
    <w:unhideWhenUsed/>
    <w:uiPriority w:val="99"/>
    <w:rPr>
      <w:color w:val="605E5C"/>
      <w:shd w:val="clear" w:color="auto" w:fill="E1DFDD"/>
    </w:rPr>
  </w:style>
  <w:style w:type="paragraph" w:styleId="18">
    <w:name w:val="No Spacing"/>
    <w:qFormat/>
    <w:uiPriority w:val="1"/>
    <w:rPr>
      <w:rFonts w:ascii="Calibri" w:hAnsi="Calibri" w:eastAsia="Calibri" w:cs="Times New Roman"/>
      <w:sz w:val="22"/>
      <w:szCs w:val="22"/>
      <w:lang w:val="ru-RU" w:eastAsia="en-US" w:bidi="ar-SA"/>
    </w:rPr>
  </w:style>
  <w:style w:type="paragraph" w:customStyle="1" w:styleId="19">
    <w:name w:val="Standard"/>
    <w:qFormat/>
    <w:uiPriority w:val="99"/>
    <w:pPr>
      <w:suppressAutoHyphens/>
      <w:autoSpaceDN w:val="0"/>
      <w:textAlignment w:val="baseline"/>
    </w:pPr>
    <w:rPr>
      <w:rFonts w:ascii="Times New Roman" w:hAnsi="Times New Roman" w:eastAsia="SimSun" w:cs="Times New Roman"/>
      <w:kern w:val="3"/>
      <w:sz w:val="24"/>
      <w:szCs w:val="24"/>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1239</Words>
  <Characters>8100</Characters>
  <Lines>68</Lines>
  <Paragraphs>19</Paragraphs>
  <TotalTime>36</TotalTime>
  <ScaleCrop>false</ScaleCrop>
  <LinksUpToDate>false</LinksUpToDate>
  <CharactersWithSpaces>9288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2026-11-04T18:13:00Z</dcterms:created>
  <dc:creator>Admin</dc:creator>
  <cp:lastModifiedBy>1</cp:lastModifiedBy>
  <cp:lastPrinted>2015-09-08T13:13:00Z</cp:lastPrinted>
  <dcterms:modified xsi:type="dcterms:W3CDTF">2026-11-07T15:14:15Z</dcterms:modified>
  <dc:title>«УТВЕРЖДАЮ»                    «УТВЕРЖДАЮ»                      «СОГЛАСОВАНО»</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eyJoZGlkIjoiMjc4OTZiZGEwNmZkOTAzOWRmYWEwZTA1YjZmMTI1OGEifQ==</vt:lpwstr>
  </property>
  <property fmtid="{D5CDD505-2E9C-101B-9397-08002B2CF9AE}" pid="3" name="KSOProductBuildVer">
    <vt:lpwstr>1033-12.1.0.29162</vt:lpwstr>
  </property>
  <property fmtid="{D5CDD505-2E9C-101B-9397-08002B2CF9AE}" pid="4" name="ICV">
    <vt:lpwstr>BC56E1FFFFBA44E28E20C810980B6E1A_12</vt:lpwstr>
  </property>
</Properties>
</file>